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09C" w:rsidRPr="0054309C" w:rsidRDefault="0054309C" w:rsidP="0054309C">
      <w:pPr>
        <w:spacing w:after="0" w:line="240" w:lineRule="auto"/>
        <w:rPr>
          <w:rFonts w:ascii="Times New Roman" w:eastAsia="Times New Roman" w:hAnsi="Times New Roman" w:cs="Times New Roman"/>
          <w:b/>
          <w:sz w:val="24"/>
          <w:szCs w:val="24"/>
        </w:rPr>
      </w:pPr>
    </w:p>
    <w:p w:rsidR="0054309C" w:rsidRDefault="00716834" w:rsidP="00A32477">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GODIŠNJI IZVJEŠTAJ O IZVRŠENJU FINANCIJSKOG PLANA ZA 2024. GODINU, </w:t>
      </w:r>
      <w:r w:rsidR="0054309C" w:rsidRPr="00A32477">
        <w:rPr>
          <w:rFonts w:ascii="Times New Roman" w:hAnsi="Times New Roman" w:cs="Times New Roman"/>
          <w:b/>
          <w:sz w:val="24"/>
          <w:szCs w:val="24"/>
        </w:rPr>
        <w:t xml:space="preserve"> </w:t>
      </w:r>
      <w:r>
        <w:rPr>
          <w:rFonts w:ascii="Times New Roman" w:hAnsi="Times New Roman" w:cs="Times New Roman"/>
          <w:b/>
          <w:sz w:val="24"/>
          <w:szCs w:val="24"/>
        </w:rPr>
        <w:t xml:space="preserve">MINISTARSTVA TURIZMA I SPORTA, RAZDJEL/GLAVA </w:t>
      </w:r>
      <w:r w:rsidR="0054309C" w:rsidRPr="00A32477">
        <w:rPr>
          <w:rFonts w:ascii="Times New Roman" w:hAnsi="Times New Roman" w:cs="Times New Roman"/>
          <w:b/>
          <w:sz w:val="24"/>
          <w:szCs w:val="24"/>
        </w:rPr>
        <w:t>090/09005</w:t>
      </w:r>
    </w:p>
    <w:p w:rsidR="00A32477" w:rsidRPr="00A32477" w:rsidRDefault="00A32477" w:rsidP="00A32477">
      <w:pPr>
        <w:spacing w:after="0"/>
        <w:jc w:val="center"/>
        <w:rPr>
          <w:rFonts w:ascii="Times New Roman" w:hAnsi="Times New Roman" w:cs="Times New Roman"/>
          <w:b/>
          <w:sz w:val="24"/>
          <w:szCs w:val="24"/>
        </w:rPr>
      </w:pPr>
    </w:p>
    <w:p w:rsidR="0054309C" w:rsidRPr="0054309C" w:rsidRDefault="0054309C" w:rsidP="0054309C">
      <w:pPr>
        <w:jc w:val="both"/>
        <w:rPr>
          <w:rFonts w:ascii="Times New Roman" w:hAnsi="Times New Roman" w:cs="Times New Roman"/>
          <w:sz w:val="24"/>
          <w:szCs w:val="24"/>
        </w:rPr>
      </w:pPr>
      <w:bookmarkStart w:id="0" w:name="_GoBack"/>
      <w:bookmarkEnd w:id="0"/>
    </w:p>
    <w:p w:rsidR="0054309C" w:rsidRPr="0054309C" w:rsidRDefault="0054309C" w:rsidP="0054309C">
      <w:pPr>
        <w:numPr>
          <w:ilvl w:val="0"/>
          <w:numId w:val="4"/>
        </w:numPr>
        <w:spacing w:after="0" w:line="240" w:lineRule="auto"/>
        <w:contextualSpacing/>
        <w:rPr>
          <w:rFonts w:ascii="Times New Roman" w:hAnsi="Times New Roman" w:cs="Times New Roman"/>
          <w:b/>
          <w:sz w:val="24"/>
          <w:szCs w:val="24"/>
        </w:rPr>
      </w:pPr>
      <w:r w:rsidRPr="0054309C">
        <w:rPr>
          <w:rFonts w:ascii="Times New Roman" w:hAnsi="Times New Roman" w:cs="Times New Roman"/>
          <w:b/>
          <w:sz w:val="24"/>
          <w:szCs w:val="24"/>
        </w:rPr>
        <w:t>OBRAZLOŽENJE OPĆEG DIJELA IZVJEŠTAJA O IZVRŠENJU FINANCIJSKOG PLANA</w:t>
      </w:r>
    </w:p>
    <w:p w:rsidR="0054309C" w:rsidRPr="0054309C" w:rsidRDefault="0054309C" w:rsidP="0054309C">
      <w:pPr>
        <w:ind w:left="720"/>
        <w:contextualSpacing/>
        <w:rPr>
          <w:rFonts w:ascii="Times New Roman" w:hAnsi="Times New Roman" w:cs="Times New Roman"/>
          <w:b/>
          <w:sz w:val="24"/>
          <w:szCs w:val="24"/>
        </w:rPr>
      </w:pPr>
    </w:p>
    <w:p w:rsidR="0054309C" w:rsidRPr="0054309C" w:rsidRDefault="0054309C" w:rsidP="0054309C">
      <w:pPr>
        <w:numPr>
          <w:ilvl w:val="0"/>
          <w:numId w:val="9"/>
        </w:numPr>
        <w:spacing w:after="0" w:line="240" w:lineRule="auto"/>
        <w:contextualSpacing/>
        <w:rPr>
          <w:rFonts w:ascii="Times New Roman" w:hAnsi="Times New Roman" w:cs="Times New Roman"/>
          <w:b/>
          <w:sz w:val="24"/>
          <w:szCs w:val="24"/>
        </w:rPr>
      </w:pPr>
      <w:r w:rsidRPr="0054309C">
        <w:rPr>
          <w:rFonts w:ascii="Times New Roman" w:hAnsi="Times New Roman" w:cs="Times New Roman"/>
          <w:b/>
          <w:sz w:val="24"/>
          <w:szCs w:val="24"/>
        </w:rPr>
        <w:t>Obrazloženje ostvarenja prihoda i rashoda, primitaka i izdataka</w:t>
      </w:r>
    </w:p>
    <w:p w:rsidR="0054309C" w:rsidRPr="0054309C" w:rsidRDefault="0054309C" w:rsidP="0054309C">
      <w:pPr>
        <w:spacing w:after="0" w:line="240" w:lineRule="auto"/>
        <w:contextualSpacing/>
        <w:rPr>
          <w:rFonts w:ascii="Times New Roman" w:hAnsi="Times New Roman" w:cs="Times New Roman"/>
          <w:b/>
          <w:sz w:val="24"/>
          <w:szCs w:val="24"/>
        </w:rPr>
      </w:pPr>
    </w:p>
    <w:p w:rsidR="0054309C" w:rsidRPr="0054309C" w:rsidRDefault="0054309C" w:rsidP="0054309C">
      <w:pPr>
        <w:spacing w:after="0" w:line="240" w:lineRule="auto"/>
        <w:contextualSpacing/>
        <w:rPr>
          <w:rFonts w:ascii="Times New Roman" w:hAnsi="Times New Roman" w:cs="Times New Roman"/>
          <w:b/>
          <w:sz w:val="24"/>
          <w:szCs w:val="24"/>
        </w:rPr>
      </w:pPr>
    </w:p>
    <w:p w:rsidR="0054309C" w:rsidRPr="0054309C" w:rsidRDefault="0054309C" w:rsidP="0054309C">
      <w:pPr>
        <w:spacing w:after="0" w:line="240" w:lineRule="auto"/>
        <w:contextualSpacing/>
        <w:rPr>
          <w:rFonts w:ascii="Times New Roman" w:hAnsi="Times New Roman" w:cs="Times New Roman"/>
          <w:b/>
          <w:sz w:val="24"/>
          <w:szCs w:val="24"/>
        </w:rPr>
      </w:pPr>
      <w:r w:rsidRPr="0054309C">
        <w:rPr>
          <w:rFonts w:ascii="Times New Roman" w:hAnsi="Times New Roman" w:cs="Times New Roman"/>
          <w:b/>
          <w:sz w:val="24"/>
          <w:szCs w:val="24"/>
        </w:rPr>
        <w:t>PRIHODI</w:t>
      </w:r>
    </w:p>
    <w:p w:rsidR="0054309C" w:rsidRPr="0054309C" w:rsidRDefault="0054309C" w:rsidP="0054309C">
      <w:pPr>
        <w:spacing w:after="0" w:line="240" w:lineRule="auto"/>
        <w:contextualSpacing/>
        <w:rPr>
          <w:rFonts w:ascii="Times New Roman" w:hAnsi="Times New Roman" w:cs="Times New Roman"/>
          <w:b/>
          <w:sz w:val="24"/>
          <w:szCs w:val="24"/>
        </w:rPr>
      </w:pPr>
    </w:p>
    <w:tbl>
      <w:tblPr>
        <w:tblW w:w="5000" w:type="pct"/>
        <w:tblLayout w:type="fixed"/>
        <w:tblLook w:val="04A0" w:firstRow="1" w:lastRow="0" w:firstColumn="1" w:lastColumn="0" w:noHBand="0" w:noVBand="1"/>
      </w:tblPr>
      <w:tblGrid>
        <w:gridCol w:w="564"/>
        <w:gridCol w:w="1560"/>
        <w:gridCol w:w="1274"/>
        <w:gridCol w:w="1278"/>
        <w:gridCol w:w="1274"/>
        <w:gridCol w:w="1280"/>
        <w:gridCol w:w="1127"/>
        <w:gridCol w:w="705"/>
      </w:tblGrid>
      <w:tr w:rsidR="0054309C" w:rsidRPr="0054309C" w:rsidTr="00D826F3">
        <w:trPr>
          <w:trHeight w:val="1140"/>
        </w:trPr>
        <w:tc>
          <w:tcPr>
            <w:tcW w:w="311" w:type="pct"/>
            <w:tcBorders>
              <w:top w:val="single" w:sz="4" w:space="0" w:color="auto"/>
              <w:left w:val="single" w:sz="4" w:space="0" w:color="auto"/>
              <w:bottom w:val="single" w:sz="4" w:space="0" w:color="auto"/>
              <w:right w:val="nil"/>
            </w:tcBorders>
            <w:shd w:val="clear" w:color="000000" w:fill="DCE6F1"/>
            <w:noWrap/>
            <w:vAlign w:val="center"/>
            <w:hideMark/>
          </w:tcPr>
          <w:p w:rsidR="0054309C" w:rsidRPr="0054309C" w:rsidRDefault="0054309C" w:rsidP="0054309C">
            <w:pPr>
              <w:spacing w:after="0" w:line="240" w:lineRule="auto"/>
              <w:jc w:val="center"/>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 </w:t>
            </w:r>
          </w:p>
        </w:tc>
        <w:tc>
          <w:tcPr>
            <w:tcW w:w="861" w:type="pct"/>
            <w:tcBorders>
              <w:top w:val="single" w:sz="4" w:space="0" w:color="auto"/>
              <w:left w:val="nil"/>
              <w:bottom w:val="single" w:sz="4" w:space="0" w:color="auto"/>
              <w:right w:val="nil"/>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BROJČANA OZNAKA I NAZIV</w:t>
            </w:r>
          </w:p>
        </w:tc>
        <w:tc>
          <w:tcPr>
            <w:tcW w:w="703" w:type="pct"/>
            <w:tcBorders>
              <w:top w:val="single" w:sz="4" w:space="0" w:color="auto"/>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 xml:space="preserve">OSTVARENJE/IZVRŠENJE </w:t>
            </w:r>
            <w:r w:rsidRPr="0054309C">
              <w:rPr>
                <w:rFonts w:ascii="Times New Roman" w:eastAsia="Times New Roman" w:hAnsi="Times New Roman" w:cs="Times New Roman"/>
                <w:b/>
                <w:bCs/>
                <w:sz w:val="16"/>
                <w:szCs w:val="16"/>
                <w:lang w:eastAsia="hr-HR"/>
              </w:rPr>
              <w:br/>
              <w:t>01.2023. - 12.2023.</w:t>
            </w:r>
          </w:p>
        </w:tc>
        <w:tc>
          <w:tcPr>
            <w:tcW w:w="705"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 xml:space="preserve">IZVORNI PLAN ILI REBALANS </w:t>
            </w:r>
            <w:r w:rsidRPr="0054309C">
              <w:rPr>
                <w:rFonts w:ascii="Times New Roman" w:eastAsia="Times New Roman" w:hAnsi="Times New Roman" w:cs="Times New Roman"/>
                <w:b/>
                <w:bCs/>
                <w:sz w:val="16"/>
                <w:szCs w:val="16"/>
                <w:lang w:eastAsia="hr-HR"/>
              </w:rPr>
              <w:br/>
              <w:t>2024.</w:t>
            </w:r>
          </w:p>
        </w:tc>
        <w:tc>
          <w:tcPr>
            <w:tcW w:w="703"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 xml:space="preserve">TEKUĆI PLAN </w:t>
            </w:r>
            <w:r w:rsidRPr="0054309C">
              <w:rPr>
                <w:rFonts w:ascii="Times New Roman" w:eastAsia="Times New Roman" w:hAnsi="Times New Roman" w:cs="Times New Roman"/>
                <w:b/>
                <w:bCs/>
                <w:sz w:val="16"/>
                <w:szCs w:val="16"/>
                <w:lang w:eastAsia="hr-HR"/>
              </w:rPr>
              <w:br/>
              <w:t>2024.</w:t>
            </w:r>
          </w:p>
        </w:tc>
        <w:tc>
          <w:tcPr>
            <w:tcW w:w="706"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 xml:space="preserve">OSTVARENJE/IZVRŠENJE </w:t>
            </w:r>
            <w:r w:rsidRPr="0054309C">
              <w:rPr>
                <w:rFonts w:ascii="Times New Roman" w:eastAsia="Times New Roman" w:hAnsi="Times New Roman" w:cs="Times New Roman"/>
                <w:b/>
                <w:bCs/>
                <w:sz w:val="16"/>
                <w:szCs w:val="16"/>
                <w:lang w:eastAsia="hr-HR"/>
              </w:rPr>
              <w:br/>
              <w:t>01.2024. - 12.2024.</w:t>
            </w:r>
          </w:p>
        </w:tc>
        <w:tc>
          <w:tcPr>
            <w:tcW w:w="622"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INDEKS</w:t>
            </w:r>
            <w:r w:rsidRPr="0054309C">
              <w:rPr>
                <w:rFonts w:ascii="Times New Roman" w:eastAsia="Times New Roman" w:hAnsi="Times New Roman" w:cs="Times New Roman"/>
                <w:b/>
                <w:bCs/>
                <w:sz w:val="16"/>
                <w:szCs w:val="16"/>
                <w:lang w:eastAsia="hr-HR"/>
              </w:rPr>
              <w:br/>
              <w:t>(5)/(2)</w:t>
            </w:r>
          </w:p>
        </w:tc>
        <w:tc>
          <w:tcPr>
            <w:tcW w:w="390"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INDEKS</w:t>
            </w:r>
            <w:r w:rsidRPr="0054309C">
              <w:rPr>
                <w:rFonts w:ascii="Times New Roman" w:eastAsia="Times New Roman" w:hAnsi="Times New Roman" w:cs="Times New Roman"/>
                <w:b/>
                <w:bCs/>
                <w:sz w:val="16"/>
                <w:szCs w:val="16"/>
                <w:lang w:eastAsia="hr-HR"/>
              </w:rPr>
              <w:br/>
              <w:t>(5)/(4)</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center"/>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 </w:t>
            </w:r>
          </w:p>
        </w:tc>
        <w:tc>
          <w:tcPr>
            <w:tcW w:w="861" w:type="pct"/>
            <w:tcBorders>
              <w:top w:val="nil"/>
              <w:left w:val="nil"/>
              <w:bottom w:val="single" w:sz="4" w:space="0" w:color="auto"/>
              <w:right w:val="nil"/>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1</w:t>
            </w:r>
          </w:p>
        </w:tc>
        <w:tc>
          <w:tcPr>
            <w:tcW w:w="703" w:type="pct"/>
            <w:tcBorders>
              <w:top w:val="nil"/>
              <w:left w:val="single" w:sz="4" w:space="0" w:color="auto"/>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2</w:t>
            </w:r>
          </w:p>
        </w:tc>
        <w:tc>
          <w:tcPr>
            <w:tcW w:w="705"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3</w:t>
            </w:r>
          </w:p>
        </w:tc>
        <w:tc>
          <w:tcPr>
            <w:tcW w:w="70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4</w:t>
            </w:r>
          </w:p>
        </w:tc>
        <w:tc>
          <w:tcPr>
            <w:tcW w:w="706"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5</w:t>
            </w:r>
          </w:p>
        </w:tc>
        <w:tc>
          <w:tcPr>
            <w:tcW w:w="62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6</w:t>
            </w:r>
          </w:p>
        </w:tc>
        <w:tc>
          <w:tcPr>
            <w:tcW w:w="39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7</w:t>
            </w:r>
          </w:p>
        </w:tc>
      </w:tr>
      <w:tr w:rsidR="0054309C" w:rsidRPr="0054309C" w:rsidTr="00D826F3">
        <w:trPr>
          <w:trHeight w:val="255"/>
        </w:trPr>
        <w:tc>
          <w:tcPr>
            <w:tcW w:w="311" w:type="pct"/>
            <w:tcBorders>
              <w:top w:val="single" w:sz="4" w:space="0" w:color="auto"/>
              <w:left w:val="single" w:sz="4" w:space="0" w:color="auto"/>
              <w:bottom w:val="nil"/>
              <w:right w:val="single" w:sz="4" w:space="0" w:color="auto"/>
            </w:tcBorders>
            <w:shd w:val="clear" w:color="000000" w:fill="C5D9F1"/>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 </w:t>
            </w:r>
          </w:p>
        </w:tc>
        <w:tc>
          <w:tcPr>
            <w:tcW w:w="861" w:type="pct"/>
            <w:tcBorders>
              <w:top w:val="nil"/>
              <w:left w:val="nil"/>
              <w:bottom w:val="nil"/>
              <w:right w:val="nil"/>
            </w:tcBorders>
            <w:shd w:val="clear" w:color="000000" w:fill="C5D9F1"/>
            <w:noWrap/>
            <w:vAlign w:val="center"/>
            <w:hideMark/>
          </w:tcPr>
          <w:p w:rsidR="0054309C" w:rsidRPr="0054309C" w:rsidRDefault="0054309C" w:rsidP="0054309C">
            <w:pPr>
              <w:spacing w:after="0" w:line="240" w:lineRule="auto"/>
              <w:ind w:firstLineChars="100" w:firstLine="160"/>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UKUPNI PRIHODI</w:t>
            </w:r>
          </w:p>
        </w:tc>
        <w:tc>
          <w:tcPr>
            <w:tcW w:w="703" w:type="pct"/>
            <w:tcBorders>
              <w:top w:val="nil"/>
              <w:left w:val="single" w:sz="4" w:space="0" w:color="auto"/>
              <w:bottom w:val="single" w:sz="4" w:space="0" w:color="auto"/>
              <w:right w:val="single" w:sz="4" w:space="0" w:color="auto"/>
            </w:tcBorders>
            <w:shd w:val="clear" w:color="000000" w:fill="C5D9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122.507.110,02</w:t>
            </w:r>
          </w:p>
        </w:tc>
        <w:tc>
          <w:tcPr>
            <w:tcW w:w="705" w:type="pct"/>
            <w:tcBorders>
              <w:top w:val="nil"/>
              <w:left w:val="nil"/>
              <w:bottom w:val="single" w:sz="4" w:space="0" w:color="auto"/>
              <w:right w:val="single" w:sz="4" w:space="0" w:color="auto"/>
            </w:tcBorders>
            <w:shd w:val="clear" w:color="000000" w:fill="C5D9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255.700.043,00</w:t>
            </w:r>
          </w:p>
        </w:tc>
        <w:tc>
          <w:tcPr>
            <w:tcW w:w="703" w:type="pct"/>
            <w:tcBorders>
              <w:top w:val="nil"/>
              <w:left w:val="nil"/>
              <w:bottom w:val="single" w:sz="4" w:space="0" w:color="auto"/>
              <w:right w:val="single" w:sz="4" w:space="0" w:color="auto"/>
            </w:tcBorders>
            <w:shd w:val="clear" w:color="000000" w:fill="C5D9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256.200.043,00</w:t>
            </w:r>
          </w:p>
        </w:tc>
        <w:tc>
          <w:tcPr>
            <w:tcW w:w="706" w:type="pct"/>
            <w:tcBorders>
              <w:top w:val="nil"/>
              <w:left w:val="nil"/>
              <w:bottom w:val="single" w:sz="4" w:space="0" w:color="auto"/>
              <w:right w:val="single" w:sz="4" w:space="0" w:color="auto"/>
            </w:tcBorders>
            <w:shd w:val="clear" w:color="000000" w:fill="C5D9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235.009.802,00</w:t>
            </w:r>
          </w:p>
        </w:tc>
        <w:tc>
          <w:tcPr>
            <w:tcW w:w="622" w:type="pct"/>
            <w:tcBorders>
              <w:top w:val="nil"/>
              <w:left w:val="nil"/>
              <w:bottom w:val="single" w:sz="4" w:space="0" w:color="auto"/>
              <w:right w:val="single" w:sz="4" w:space="0" w:color="auto"/>
            </w:tcBorders>
            <w:shd w:val="clear" w:color="000000" w:fill="C5D9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191,83</w:t>
            </w:r>
          </w:p>
        </w:tc>
        <w:tc>
          <w:tcPr>
            <w:tcW w:w="390" w:type="pct"/>
            <w:tcBorders>
              <w:top w:val="nil"/>
              <w:left w:val="nil"/>
              <w:bottom w:val="single" w:sz="4" w:space="0" w:color="auto"/>
              <w:right w:val="single" w:sz="4" w:space="0" w:color="auto"/>
            </w:tcBorders>
            <w:shd w:val="clear" w:color="000000" w:fill="C5D9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91,73</w:t>
            </w:r>
          </w:p>
        </w:tc>
      </w:tr>
      <w:tr w:rsidR="0054309C" w:rsidRPr="0054309C" w:rsidTr="00D826F3">
        <w:trPr>
          <w:trHeight w:val="255"/>
        </w:trPr>
        <w:tc>
          <w:tcPr>
            <w:tcW w:w="3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6</w:t>
            </w:r>
          </w:p>
        </w:tc>
        <w:tc>
          <w:tcPr>
            <w:tcW w:w="861" w:type="pct"/>
            <w:tcBorders>
              <w:top w:val="single" w:sz="4" w:space="0" w:color="auto"/>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ind w:firstLineChars="200" w:firstLine="320"/>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6 Prihodi poslovanja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63.715.718,76</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100.034.222</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100.534.222</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92.595.153,66</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145,33</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92,10</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67</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iz proračuna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63.715.718,76</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100.034.222</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100.534.222</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92.595.153,66</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145,33</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92,10</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671</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 xml:space="preserve"> Prihodi iz proračuna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63.715.718,76</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100.034.222</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100.534.222</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92.595.153,66</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145,33</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92,10</w:t>
            </w:r>
          </w:p>
        </w:tc>
      </w:tr>
      <w:tr w:rsidR="0054309C" w:rsidRPr="0054309C" w:rsidTr="00D826F3">
        <w:trPr>
          <w:trHeight w:val="450"/>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6711</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iz nadležnog proračuna za financiranje rashoda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63.524.099,38</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92.477.378,20</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145,58</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450"/>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6712</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iz nadležnog proračuna za financiranje rashoda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191.619,38</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117.775,46</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61,46</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450"/>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6714</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od nadležnog proračuna za financiranje izdataka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Prihodi poslovanja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58.791.391,26</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155.665.821</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155.665.821</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142.414.648,34</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242,24</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91,49</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61</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od poreza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43.436.186,97</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46.879.327</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46.879.327</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49.912.785,16</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114,91</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106,47</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614</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Porezi na robu i usluge</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43.436.186,97</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49.912.785,16</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114,91</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6148</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Naknade za priređivanje igara na sreću</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43.436.186,97</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49.912.785,16</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114,91</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450"/>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63</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Pomoći iz inozemstva i od subjekata unutar općeg proračuna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14.344.167,29</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89.469.803</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89.469.803</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66.287.735,28</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462,12</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74,09</w:t>
            </w:r>
          </w:p>
        </w:tc>
      </w:tr>
      <w:tr w:rsidR="0054309C" w:rsidRPr="0054309C" w:rsidTr="00D826F3">
        <w:trPr>
          <w:trHeight w:val="450"/>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632</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Pomoći od međunarodnih organizacija te institucija i tijela EU</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14.344.167,29</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66.287.735,28</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462,12</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6323</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Tekuće pomoći od institucija i tijela EU</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13.630.050,84</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66.287.735,28</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486,34</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6324</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Kapitalne pomoći od institucija i tijela EU</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714.116,45</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64</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od imovine</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942.593,15</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1.609.056</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1.609.056</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2.124.154,47</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225,35</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132,01</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641</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od financijske imovine</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883.384,17</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1.945.989,70</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220,29</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67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6417</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 xml:space="preserve">Prihodi iz dobiti trgovačkih društava, kreditnih i ostalih financijskih </w:t>
            </w:r>
            <w:r w:rsidRPr="0054309C">
              <w:rPr>
                <w:rFonts w:ascii="Times New Roman" w:eastAsia="Times New Roman" w:hAnsi="Times New Roman" w:cs="Times New Roman"/>
                <w:sz w:val="16"/>
                <w:szCs w:val="16"/>
                <w:lang w:eastAsia="hr-HR"/>
              </w:rPr>
              <w:lastRenderedPageBreak/>
              <w:t>institucija po posebnim propisima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lastRenderedPageBreak/>
              <w:t>883.384,17</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1.945.989,70</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220,29</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642</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od nefinancijske imovine</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59.208,98</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178.164,77</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300,91</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6421</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Naknade za koncesije</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59.208,98</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178.164,77</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300,91</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450"/>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65</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od upravnih i administrativnih pristojbi, pristojbi po posebnim propisima i naknada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68.443,85</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17.707.635</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17.707.635</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24.079.676,43</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35.181,65</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135,98</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652</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po posebnim propisima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68.443,85</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24.079.676,43</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35.181,65</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6521</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državne uprave</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68.443,85</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24.079.676,43</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35.181,65</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67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66</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Prihodi od prodaje proizvoda i robe te pruženih usluga, prihodi od donacija te povrati po protestiranim jamstvima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10.297,00</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67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663</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Donacije od pravnih i fizičkih osoba izvan općeg proračuna te povrat donacija i kapitalnih pomoći po protestiranim jamstvima</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10.297,00</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11" w:type="pct"/>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6631</w:t>
            </w:r>
          </w:p>
        </w:tc>
        <w:tc>
          <w:tcPr>
            <w:tcW w:w="8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Tekuće donacije</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5"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06"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10.297,00</w:t>
            </w:r>
          </w:p>
        </w:tc>
        <w:tc>
          <w:tcPr>
            <w:tcW w:w="62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39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bl>
    <w:p w:rsidR="0054309C" w:rsidRPr="0054309C" w:rsidRDefault="0054309C" w:rsidP="0054309C">
      <w:pPr>
        <w:spacing w:after="0" w:line="240" w:lineRule="auto"/>
        <w:contextualSpacing/>
        <w:rPr>
          <w:rFonts w:ascii="Times New Roman" w:hAnsi="Times New Roman" w:cs="Times New Roman"/>
          <w:b/>
          <w:sz w:val="24"/>
          <w:szCs w:val="24"/>
        </w:rPr>
      </w:pPr>
    </w:p>
    <w:p w:rsidR="0054309C" w:rsidRPr="0054309C" w:rsidRDefault="0054309C" w:rsidP="0054309C">
      <w:pPr>
        <w:spacing w:after="0" w:line="240" w:lineRule="auto"/>
        <w:contextualSpacing/>
        <w:rPr>
          <w:rFonts w:ascii="Times New Roman" w:hAnsi="Times New Roman" w:cs="Times New Roman"/>
          <w:b/>
          <w:sz w:val="24"/>
          <w:szCs w:val="24"/>
        </w:rPr>
      </w:pPr>
    </w:p>
    <w:p w:rsidR="0054309C" w:rsidRPr="0054309C" w:rsidRDefault="0054309C" w:rsidP="0054309C">
      <w:pPr>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Ukupni prihodi u 2024. godini iznose 256.200.043,00 eura, a odnose se na prihode iz proračuna za financiranje redovne djelatnosti koji se ostvaruju iz izvora 11 – Opći prihodi i primici u iznosu od 97.346.785,00 eura i  izvora 12 – Sredstva učešća za pomoći u iznosu od 2.808.615,00 eura, refundacije iz pomoći EU u iznosu od 378.822,00 eura, što ukupno iznosi 100.534.222,00 eura, a čini 39% od ukupnog proračuna ministarstva.</w:t>
      </w:r>
    </w:p>
    <w:p w:rsidR="0054309C" w:rsidRPr="0054309C" w:rsidRDefault="0054309C" w:rsidP="0054309C">
      <w:pPr>
        <w:spacing w:line="256" w:lineRule="auto"/>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Ostvareni prihodi iz proračuna u izvještajnom razdoblju iznose 92.595.153,66 eura koji u odnosu na ostvareno izvršenje 2023. godine za isto izvještajno razdoblje imaju povećanje od 145,33% a u odnosu na tekući plan 2024. godine izvršenje od 92,10%.</w:t>
      </w:r>
    </w:p>
    <w:p w:rsidR="0054309C" w:rsidRPr="0054309C" w:rsidRDefault="0054309C" w:rsidP="0054309C">
      <w:pPr>
        <w:spacing w:line="256" w:lineRule="auto"/>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 xml:space="preserve">Zatim, prihodi od pomoći iz inozemstva (darovnice) i od subjekta unutar općeg proračuna iznose 89.469.803,00 eura, a što čini 34% od ukupnog proračuna ministarstva. Navedeni prihodi čine izvor 51 – Pomoći EU u iznosu od 13.272,00 eura, 52- Ostale pomoći u iznosu od 1.725,00 eura, 56- Fondovi EU u iznosu od  12.376.711,00 eura, te 58-Instrumenti EU nove generacije u iznosu od 77.078.095,00 eura. </w:t>
      </w:r>
    </w:p>
    <w:p w:rsidR="0054309C" w:rsidRPr="0054309C" w:rsidRDefault="0054309C" w:rsidP="0054309C">
      <w:pPr>
        <w:spacing w:line="256" w:lineRule="auto"/>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Ostvareni prihodi od pomoći iz inozemstva (darovnice) i od subjekta unutar općeg proračuna iznose 66.287.735,28 eura koji u odnosu na ostvareno izvršenje 2023. godine za isto izvještajno razdoblje imaju povećanje od 462,1% a u odnosu na tekući plan 2024. godine izvršenje od 74,08%.</w:t>
      </w:r>
    </w:p>
    <w:p w:rsidR="0054309C" w:rsidRPr="0054309C" w:rsidRDefault="0054309C" w:rsidP="0054309C">
      <w:pPr>
        <w:spacing w:line="256" w:lineRule="auto"/>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 xml:space="preserve">Prihodi za posebne namjene iznose  64.586.962,00 eura, što ukupno čini 25 % od ukupnog proračuna ministarstva, odnose se na prihode ostvarene iz izvora 43 – Ostali prihodi za posebne namjene Fond za turizam, ostvarenih iz naknada za korištenje turističkog zemljišta u vlasništvu Republike Hrvatske a  koriste se za ulaganja u razvoj turističke infrastrukture s ciljem razvoja </w:t>
      </w:r>
      <w:r w:rsidRPr="0054309C">
        <w:rPr>
          <w:rFonts w:ascii="Times New Roman" w:hAnsi="Times New Roman" w:cs="Times New Roman"/>
          <w:color w:val="000000" w:themeColor="text1"/>
          <w:sz w:val="24"/>
          <w:szCs w:val="24"/>
        </w:rPr>
        <w:lastRenderedPageBreak/>
        <w:t xml:space="preserve">turističke infrastrukture i očuvanja turističke resursne osnove. Zatim, izvor 41 - prihodi od igara na sreću, odnosi se na provedbu sufinanciranja dijela programa javnih potreba u sportu državne razine koji se provode putem Hrvatskog olimpijskog odbora (HOO), Hrvatskog </w:t>
      </w:r>
      <w:proofErr w:type="spellStart"/>
      <w:r w:rsidRPr="0054309C">
        <w:rPr>
          <w:rFonts w:ascii="Times New Roman" w:hAnsi="Times New Roman" w:cs="Times New Roman"/>
          <w:color w:val="000000" w:themeColor="text1"/>
          <w:sz w:val="24"/>
          <w:szCs w:val="24"/>
        </w:rPr>
        <w:t>paraolimpijskog</w:t>
      </w:r>
      <w:proofErr w:type="spellEnd"/>
      <w:r w:rsidRPr="0054309C">
        <w:rPr>
          <w:rFonts w:ascii="Times New Roman" w:hAnsi="Times New Roman" w:cs="Times New Roman"/>
          <w:color w:val="000000" w:themeColor="text1"/>
          <w:sz w:val="24"/>
          <w:szCs w:val="24"/>
        </w:rPr>
        <w:t xml:space="preserve"> odbora (HPO), Hrvatskog sportskog saveza gluhih (HSSG), Hrvatskog akademskog sportskog saveza (HASS) i Hrvatskog školskog sportskog saveza (HŠSS).</w:t>
      </w:r>
    </w:p>
    <w:p w:rsidR="0054309C" w:rsidRPr="0054309C" w:rsidRDefault="0054309C" w:rsidP="0054309C">
      <w:pPr>
        <w:jc w:val="both"/>
        <w:rPr>
          <w:rFonts w:ascii="Times New Roman" w:eastAsia="Times New Roman" w:hAnsi="Times New Roman" w:cs="Times New Roman"/>
          <w:color w:val="000000"/>
          <w:sz w:val="24"/>
          <w:szCs w:val="24"/>
          <w:lang w:eastAsia="hr-HR"/>
        </w:rPr>
      </w:pPr>
      <w:r w:rsidRPr="0054309C">
        <w:rPr>
          <w:rFonts w:ascii="Times New Roman" w:hAnsi="Times New Roman" w:cs="Times New Roman"/>
          <w:color w:val="000000" w:themeColor="text1"/>
          <w:sz w:val="24"/>
          <w:szCs w:val="24"/>
        </w:rPr>
        <w:t>Ostvareni prihodi za posebne namjene u izvještajnom razdoblju za prihode od igara na sreću iznose  49.912.785,16 eura koji u odnosu na ostvareno izvršenje 2023. godine za isto izvještajno razdoblje imaju povećanje od 114,91%. Ostvareni prihodi za posebne namjene za koncesijsku naknadu iznose 24.079.676,43 eura koji u odnosu na ostvareno izvršenje 2024. godine za isto izvještajno razdoblje imaju povećanje od 135.98% . Prihodi od upravnih i administrativnih pristojbi, pristojbi po posebnim propisima naknada su ostvareni u iznosu od 2.124.154,47</w:t>
      </w:r>
      <w:r w:rsidRPr="0054309C">
        <w:rPr>
          <w:rFonts w:ascii="Times New Roman" w:eastAsia="Times New Roman" w:hAnsi="Times New Roman" w:cs="Times New Roman"/>
          <w:color w:val="000000"/>
          <w:sz w:val="24"/>
          <w:szCs w:val="24"/>
          <w:lang w:eastAsia="hr-HR"/>
        </w:rPr>
        <w:t xml:space="preserve"> </w:t>
      </w:r>
      <w:r w:rsidRPr="0054309C">
        <w:rPr>
          <w:rFonts w:ascii="Times New Roman" w:hAnsi="Times New Roman" w:cs="Times New Roman"/>
          <w:color w:val="000000" w:themeColor="text1"/>
          <w:sz w:val="24"/>
          <w:szCs w:val="24"/>
        </w:rPr>
        <w:t>eura koji u odnosu na ostvareno izvršenje 2023. godine za isto izvještajno razdoblje imaju izvršenje 225,35% a u odnosu na tekući plan 2024. godine 132,01%. Ostvareni prihodi od donacija iznose 10.297,00 eura.</w:t>
      </w:r>
    </w:p>
    <w:p w:rsidR="0054309C" w:rsidRPr="0054309C" w:rsidRDefault="0054309C" w:rsidP="0054309C">
      <w:pPr>
        <w:spacing w:after="0" w:line="240" w:lineRule="auto"/>
        <w:contextualSpacing/>
        <w:rPr>
          <w:rFonts w:ascii="Times New Roman" w:hAnsi="Times New Roman" w:cs="Times New Roman"/>
          <w:b/>
          <w:sz w:val="24"/>
          <w:szCs w:val="24"/>
        </w:rPr>
      </w:pPr>
    </w:p>
    <w:p w:rsidR="0054309C" w:rsidRPr="0054309C" w:rsidRDefault="0054309C" w:rsidP="0054309C">
      <w:pPr>
        <w:spacing w:line="256" w:lineRule="auto"/>
        <w:jc w:val="both"/>
        <w:rPr>
          <w:rFonts w:ascii="Times New Roman" w:hAnsi="Times New Roman" w:cs="Times New Roman"/>
          <w:b/>
          <w:color w:val="000000" w:themeColor="text1"/>
          <w:sz w:val="24"/>
          <w:szCs w:val="24"/>
        </w:rPr>
      </w:pPr>
      <w:r w:rsidRPr="0054309C">
        <w:rPr>
          <w:rFonts w:ascii="Times New Roman" w:hAnsi="Times New Roman" w:cs="Times New Roman"/>
          <w:b/>
          <w:color w:val="000000" w:themeColor="text1"/>
          <w:sz w:val="24"/>
          <w:szCs w:val="24"/>
        </w:rPr>
        <w:t>PRIMICI</w:t>
      </w:r>
    </w:p>
    <w:p w:rsidR="0054309C" w:rsidRPr="0054309C" w:rsidRDefault="0054309C" w:rsidP="0054309C">
      <w:pPr>
        <w:spacing w:line="256" w:lineRule="auto"/>
        <w:jc w:val="both"/>
        <w:rPr>
          <w:rFonts w:ascii="Times New Roman" w:hAnsi="Times New Roman" w:cs="Times New Roman"/>
          <w:color w:val="000000" w:themeColor="text1"/>
          <w:sz w:val="24"/>
          <w:szCs w:val="24"/>
        </w:rPr>
      </w:pPr>
      <w:r w:rsidRPr="0054309C">
        <w:rPr>
          <w:noProof/>
          <w:lang w:eastAsia="hr-HR"/>
        </w:rPr>
        <w:drawing>
          <wp:inline distT="0" distB="0" distL="0" distR="0" wp14:anchorId="4F4FA766" wp14:editId="3DD5D04B">
            <wp:extent cx="5799455" cy="73340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69551" cy="792850"/>
                    </a:xfrm>
                    <a:prstGeom prst="rect">
                      <a:avLst/>
                    </a:prstGeom>
                    <a:noFill/>
                    <a:ln>
                      <a:noFill/>
                    </a:ln>
                  </pic:spPr>
                </pic:pic>
              </a:graphicData>
            </a:graphic>
          </wp:inline>
        </w:drawing>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color w:val="000000" w:themeColor="text1"/>
          <w:sz w:val="24"/>
          <w:szCs w:val="24"/>
        </w:rPr>
        <w:t xml:space="preserve">Primici od financijske imovine iznose 51.176.332,00 eura. </w:t>
      </w:r>
      <w:r w:rsidRPr="0054309C">
        <w:rPr>
          <w:rFonts w:ascii="Times New Roman" w:hAnsi="Times New Roman" w:cs="Times New Roman"/>
          <w:sz w:val="24"/>
          <w:szCs w:val="24"/>
        </w:rPr>
        <w:t>PKK 2021.-2027. provest će se u okviru Kohezijske politike (KP) Europske unije (EU) kroz cilj ulaganja u radna mjesta i rast, te će pridonijeti ispunjenju ciljeva politike 1 do 4 definiranih u članku 5. Uredbe (EU) 2021/1060 Europskog parlamenta i Vijeća. Ostvareni primici u izvještajnom razdoblju iznose 51.084.719,00 eura koji u odnosu ostvareno izvršenje za 2024. godinu imaju povećanje od 99,82%.</w:t>
      </w:r>
    </w:p>
    <w:p w:rsidR="0054309C" w:rsidRPr="0054309C" w:rsidRDefault="0054309C" w:rsidP="0054309C">
      <w:pPr>
        <w:rPr>
          <w:rFonts w:ascii="Times New Roman" w:hAnsi="Times New Roman" w:cs="Times New Roman"/>
          <w:b/>
          <w:sz w:val="24"/>
          <w:szCs w:val="24"/>
        </w:rPr>
      </w:pPr>
    </w:p>
    <w:p w:rsidR="0054309C" w:rsidRPr="0054309C" w:rsidRDefault="0054309C" w:rsidP="0054309C">
      <w:pPr>
        <w:rPr>
          <w:rFonts w:ascii="Times New Roman" w:hAnsi="Times New Roman" w:cs="Times New Roman"/>
          <w:b/>
          <w:sz w:val="24"/>
          <w:szCs w:val="24"/>
        </w:rPr>
      </w:pPr>
      <w:r w:rsidRPr="0054309C">
        <w:rPr>
          <w:rFonts w:ascii="Times New Roman" w:hAnsi="Times New Roman" w:cs="Times New Roman"/>
          <w:b/>
          <w:sz w:val="24"/>
          <w:szCs w:val="24"/>
        </w:rPr>
        <w:t>RASHODI I IZDACI</w:t>
      </w:r>
    </w:p>
    <w:tbl>
      <w:tblPr>
        <w:tblW w:w="4768" w:type="pct"/>
        <w:tblLayout w:type="fixed"/>
        <w:tblLook w:val="04A0" w:firstRow="1" w:lastRow="0" w:firstColumn="1" w:lastColumn="0" w:noHBand="0" w:noVBand="1"/>
      </w:tblPr>
      <w:tblGrid>
        <w:gridCol w:w="561"/>
        <w:gridCol w:w="1160"/>
        <w:gridCol w:w="1395"/>
        <w:gridCol w:w="1276"/>
        <w:gridCol w:w="1320"/>
        <w:gridCol w:w="1371"/>
        <w:gridCol w:w="850"/>
        <w:gridCol w:w="709"/>
      </w:tblGrid>
      <w:tr w:rsidR="0054309C" w:rsidRPr="0054309C" w:rsidTr="00D826F3">
        <w:trPr>
          <w:trHeight w:val="765"/>
        </w:trPr>
        <w:tc>
          <w:tcPr>
            <w:tcW w:w="325" w:type="pct"/>
            <w:tcBorders>
              <w:top w:val="single" w:sz="4" w:space="0" w:color="auto"/>
              <w:left w:val="single" w:sz="4" w:space="0" w:color="auto"/>
              <w:bottom w:val="single" w:sz="4" w:space="0" w:color="auto"/>
              <w:right w:val="single" w:sz="4" w:space="0" w:color="auto"/>
            </w:tcBorders>
            <w:shd w:val="clear" w:color="000000" w:fill="DCE6F1"/>
            <w:vAlign w:val="bottom"/>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 </w:t>
            </w:r>
          </w:p>
        </w:tc>
        <w:tc>
          <w:tcPr>
            <w:tcW w:w="671"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BROJČANA OZNAKA I NAZIV</w:t>
            </w:r>
          </w:p>
        </w:tc>
        <w:tc>
          <w:tcPr>
            <w:tcW w:w="807"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 xml:space="preserve">OSTVARENJE/IZVRŠENJE </w:t>
            </w:r>
            <w:r w:rsidRPr="0054309C">
              <w:rPr>
                <w:rFonts w:ascii="Times New Roman" w:eastAsia="Times New Roman" w:hAnsi="Times New Roman" w:cs="Times New Roman"/>
                <w:b/>
                <w:bCs/>
                <w:color w:val="000000"/>
                <w:sz w:val="16"/>
                <w:szCs w:val="16"/>
                <w:lang w:eastAsia="hr-HR"/>
              </w:rPr>
              <w:br/>
              <w:t>01.2023. - 12.2023.</w:t>
            </w:r>
          </w:p>
        </w:tc>
        <w:tc>
          <w:tcPr>
            <w:tcW w:w="738"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 xml:space="preserve">IZVORNI PLAN ILI REBALANS </w:t>
            </w:r>
            <w:r w:rsidRPr="0054309C">
              <w:rPr>
                <w:rFonts w:ascii="Times New Roman" w:eastAsia="Times New Roman" w:hAnsi="Times New Roman" w:cs="Times New Roman"/>
                <w:b/>
                <w:bCs/>
                <w:color w:val="000000"/>
                <w:sz w:val="16"/>
                <w:szCs w:val="16"/>
                <w:lang w:eastAsia="hr-HR"/>
              </w:rPr>
              <w:br/>
              <w:t>2024.</w:t>
            </w:r>
          </w:p>
        </w:tc>
        <w:tc>
          <w:tcPr>
            <w:tcW w:w="764"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 xml:space="preserve">TEKUĆI PLAN </w:t>
            </w:r>
            <w:r w:rsidRPr="0054309C">
              <w:rPr>
                <w:rFonts w:ascii="Times New Roman" w:eastAsia="Times New Roman" w:hAnsi="Times New Roman" w:cs="Times New Roman"/>
                <w:b/>
                <w:bCs/>
                <w:color w:val="000000"/>
                <w:sz w:val="16"/>
                <w:szCs w:val="16"/>
                <w:lang w:eastAsia="hr-HR"/>
              </w:rPr>
              <w:br/>
              <w:t>2024.</w:t>
            </w:r>
          </w:p>
        </w:tc>
        <w:tc>
          <w:tcPr>
            <w:tcW w:w="793"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 xml:space="preserve">OSTVARENJE/IZVRŠENJE </w:t>
            </w:r>
            <w:r w:rsidRPr="0054309C">
              <w:rPr>
                <w:rFonts w:ascii="Times New Roman" w:eastAsia="Times New Roman" w:hAnsi="Times New Roman" w:cs="Times New Roman"/>
                <w:b/>
                <w:bCs/>
                <w:color w:val="000000"/>
                <w:sz w:val="16"/>
                <w:szCs w:val="16"/>
                <w:lang w:eastAsia="hr-HR"/>
              </w:rPr>
              <w:br/>
              <w:t>01.2024. - 12.2024.</w:t>
            </w:r>
          </w:p>
        </w:tc>
        <w:tc>
          <w:tcPr>
            <w:tcW w:w="492"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INDEKS</w:t>
            </w:r>
            <w:r w:rsidRPr="0054309C">
              <w:rPr>
                <w:rFonts w:ascii="Times New Roman" w:eastAsia="Times New Roman" w:hAnsi="Times New Roman" w:cs="Times New Roman"/>
                <w:b/>
                <w:bCs/>
                <w:color w:val="000000"/>
                <w:sz w:val="16"/>
                <w:szCs w:val="16"/>
                <w:lang w:eastAsia="hr-HR"/>
              </w:rPr>
              <w:br/>
              <w:t>(5)/(2)</w:t>
            </w:r>
          </w:p>
        </w:tc>
        <w:tc>
          <w:tcPr>
            <w:tcW w:w="410"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INDEKS</w:t>
            </w:r>
            <w:r w:rsidRPr="0054309C">
              <w:rPr>
                <w:rFonts w:ascii="Times New Roman" w:eastAsia="Times New Roman" w:hAnsi="Times New Roman" w:cs="Times New Roman"/>
                <w:b/>
                <w:bCs/>
                <w:color w:val="000000"/>
                <w:sz w:val="16"/>
                <w:szCs w:val="16"/>
                <w:lang w:eastAsia="hr-HR"/>
              </w:rPr>
              <w:br/>
              <w:t>(5)/(4)</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vAlign w:val="bottom"/>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 </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1</w:t>
            </w:r>
          </w:p>
        </w:tc>
        <w:tc>
          <w:tcPr>
            <w:tcW w:w="807"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w:t>
            </w:r>
          </w:p>
        </w:tc>
        <w:tc>
          <w:tcPr>
            <w:tcW w:w="738"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3</w:t>
            </w:r>
          </w:p>
        </w:tc>
        <w:tc>
          <w:tcPr>
            <w:tcW w:w="764"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4</w:t>
            </w:r>
          </w:p>
        </w:tc>
        <w:tc>
          <w:tcPr>
            <w:tcW w:w="793"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5</w:t>
            </w:r>
          </w:p>
        </w:tc>
        <w:tc>
          <w:tcPr>
            <w:tcW w:w="492"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6</w:t>
            </w:r>
          </w:p>
        </w:tc>
        <w:tc>
          <w:tcPr>
            <w:tcW w:w="410"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7</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center"/>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 </w:t>
            </w:r>
          </w:p>
        </w:tc>
        <w:tc>
          <w:tcPr>
            <w:tcW w:w="671" w:type="pct"/>
            <w:tcBorders>
              <w:top w:val="nil"/>
              <w:left w:val="nil"/>
              <w:bottom w:val="single" w:sz="4" w:space="0" w:color="auto"/>
              <w:right w:val="single" w:sz="4" w:space="0" w:color="auto"/>
            </w:tcBorders>
            <w:shd w:val="clear" w:color="000000" w:fill="DCE6F1"/>
            <w:hideMark/>
          </w:tcPr>
          <w:p w:rsidR="0054309C" w:rsidRPr="0054309C" w:rsidRDefault="0054309C" w:rsidP="0054309C">
            <w:pPr>
              <w:spacing w:after="0" w:line="240" w:lineRule="auto"/>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UKUPNI RASHODI</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124.228.718,41</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242.916.181,00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243.416.181,00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210.579.143,22</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169,51</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86,51</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3</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Rashodi poslovanja</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123.322.982,58</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242.695.106,00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243.195.106,00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210.461.367,76</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170,66</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86,54</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31</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Rashodi za zaposlene</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5.818.695,75</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7.230.560,00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7.199.312,00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7.075.774,77</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121,60</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98,28</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FFFFFF"/>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311</w:t>
            </w:r>
          </w:p>
        </w:tc>
        <w:tc>
          <w:tcPr>
            <w:tcW w:w="671" w:type="pct"/>
            <w:tcBorders>
              <w:top w:val="nil"/>
              <w:left w:val="nil"/>
              <w:bottom w:val="single" w:sz="4" w:space="0" w:color="auto"/>
              <w:right w:val="single" w:sz="4" w:space="0" w:color="auto"/>
            </w:tcBorders>
            <w:shd w:val="clear" w:color="000000" w:fill="FFFFFF"/>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Plaće (Bruto)</w:t>
            </w:r>
          </w:p>
        </w:tc>
        <w:tc>
          <w:tcPr>
            <w:tcW w:w="807" w:type="pct"/>
            <w:tcBorders>
              <w:top w:val="nil"/>
              <w:left w:val="nil"/>
              <w:bottom w:val="single" w:sz="4" w:space="0" w:color="auto"/>
              <w:right w:val="single" w:sz="4" w:space="0" w:color="auto"/>
            </w:tcBorders>
            <w:shd w:val="clear" w:color="000000" w:fill="FFFFFF"/>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4.828.375,14</w:t>
            </w:r>
          </w:p>
        </w:tc>
        <w:tc>
          <w:tcPr>
            <w:tcW w:w="738" w:type="pct"/>
            <w:tcBorders>
              <w:top w:val="nil"/>
              <w:left w:val="nil"/>
              <w:bottom w:val="single" w:sz="4" w:space="0" w:color="auto"/>
              <w:right w:val="single" w:sz="4" w:space="0" w:color="auto"/>
            </w:tcBorders>
            <w:shd w:val="clear" w:color="000000" w:fill="FFFFFF"/>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000000" w:fill="FFFFFF"/>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000000" w:fill="FFFFFF"/>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5.859.954,95</w:t>
            </w:r>
          </w:p>
        </w:tc>
        <w:tc>
          <w:tcPr>
            <w:tcW w:w="492" w:type="pct"/>
            <w:tcBorders>
              <w:top w:val="nil"/>
              <w:left w:val="nil"/>
              <w:bottom w:val="single" w:sz="4" w:space="0" w:color="auto"/>
              <w:right w:val="single" w:sz="4" w:space="0" w:color="auto"/>
            </w:tcBorders>
            <w:shd w:val="clear" w:color="000000" w:fill="FFFFFF"/>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121,36</w:t>
            </w:r>
          </w:p>
        </w:tc>
        <w:tc>
          <w:tcPr>
            <w:tcW w:w="410" w:type="pct"/>
            <w:tcBorders>
              <w:top w:val="nil"/>
              <w:left w:val="nil"/>
              <w:bottom w:val="single" w:sz="4" w:space="0" w:color="auto"/>
              <w:right w:val="single" w:sz="4" w:space="0" w:color="auto"/>
            </w:tcBorders>
            <w:shd w:val="clear" w:color="000000" w:fill="FFFFFF"/>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3111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Plaće za redovan rad</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4.733.777,97</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5.781.397,96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122,13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3113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Plaće za prekovremeni rad</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66.164,51</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69.885,66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105,62</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3114</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Plaće za posebne uvjete rada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28.432,66</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8.671,33</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30,50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312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Ostali rashodi za zaposlene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199.389,92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181.063,16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90,81</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lastRenderedPageBreak/>
              <w:t>3121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Ostali rashodi za zaposlene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199.389,92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181.063,16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90,81</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313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Doprinosi na plaće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790.930,69</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1.034.756,66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130,83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3132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Doprinosi za obvezno zdravstveno osiguranje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790.930,69</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1.034.756,66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130,83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Doprinosi za obvezno zdravstveno osiguranje</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2.887.517,89</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4.484.941,00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4.447.217,00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3.309.437,86</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114,61</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74,42</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Materijalni rashodi</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471.007,97</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494.757,39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105,04</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3211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Naknade troškova zaposlenima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298.619,82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298.625,56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100,00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3212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Službena putovanja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126.194,85</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129.025,89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102,24</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3213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Naknade za prijevoz, za rad na terenu i odvojeni život</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6.313,42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13.688,11</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216,81</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3214</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Stručno usavršavanje zaposlenika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39.879,88</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53.417,83</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133,95</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Ostale naknade troškova zaposlenima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183.831,94</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148.371,32</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80,71</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3221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Rashodi za materijal i energiju</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57.841,86</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46.591,69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80,55</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3223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Uredski materijal i ostali materijalni rashodi</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120.102,50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98.214,17</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81,78</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3224</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Energija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3.754,55</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1.029,77</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27,43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3225</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Materijal i dijelovi za tekuće i investicijsko održavanje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2.133,03</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451,28</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21,16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3227</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 xml:space="preserve">Sitni inventar i </w:t>
            </w:r>
            <w:proofErr w:type="spellStart"/>
            <w:r w:rsidRPr="0054309C">
              <w:rPr>
                <w:rFonts w:ascii="Times New Roman" w:eastAsia="Times New Roman" w:hAnsi="Times New Roman" w:cs="Times New Roman"/>
                <w:sz w:val="16"/>
                <w:szCs w:val="16"/>
                <w:lang w:eastAsia="hr-HR"/>
              </w:rPr>
              <w:t>autogume</w:t>
            </w:r>
            <w:proofErr w:type="spellEnd"/>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2.084,41</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Službena, radna i zaštitna odjeća i obuća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1829609,03</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2.193.650,91</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119,90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3231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Rashodi za usluge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128.150,70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128.712,87</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100,44</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3232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Usluge telefona, interneta, pošte i prijevoza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15.304,92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41.863,14</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273,53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3233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Usluge tekućeg i investicijskog  održavanja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127.616,45</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138.213,41</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108,30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3234</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Usluge promidžbe i informiranja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20.245,14</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10.075,13</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49,77</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3235</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Komunalne usluge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375.777,10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377.308,90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100,41</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3236</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Zakupnine i najamnine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3.314,70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8.162,92</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246,26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3237</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Zdravstvene i veterinarske usluge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500.684,40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587.159,23</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117,27</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3238</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Intelektualne i osobne usluge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395.782,25</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685.339,29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173,16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lastRenderedPageBreak/>
              <w:t>3239</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Računalne usluge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262.733,37</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216.816,02</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82,52</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324</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Ostale usluge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36.327,48</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35.499,29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97,72</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3241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Naknade troškova osobama izvan radnog odnosa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36.327,48</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35.499,29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97,72</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329</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Naknade troškova osobama izvan radnog odnosa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366.741,47</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437.158,95</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119,20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3291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Ostali nespomenuti rashodi poslovanja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84.349,15</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114.425,76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135,66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3292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Naknade za rad predstavničkih i izvršnih tijela, povjerenstava i slično</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1.357,68</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1.836,26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135,25</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3293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Premije osiguranja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91.914,27</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113.548,56</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123,54</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3294</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Reprezentacija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149.632,51</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165.457,82</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110,58</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3295</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Članarine i norme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2.421,36</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5.563,30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229,76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3296</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Pristojbe i naknade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30.206,68</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25.877,15</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85,67</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3299</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Troškovi sudskih postupaka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6.859,82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10.450,10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152,34</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34</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Ostali nespomenuti rashodi poslovanja</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4.249,79</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18.683,00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18.683,00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343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Financijski rashodi</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4.249,79</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3433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Ostali financijski rashodi</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4.249,79</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35</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Zatezne kamate</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1.844.816,60</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52.732.250,00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52.570.906,00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52.826.262,85</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2.863,50</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100,49</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352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Subvencije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1.067.917,31</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662.952,52</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62,08</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102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3522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Subvencije kreditnim i financijskim institucijama, trgovačkim društvima, zadrugama, poljoprivrednicima i obrtnicima izvan javnog sektora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871.796,26</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572.146,37</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65,63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3523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Subvencije trgovačkim društvima i zadrugama izvan javnog sektora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196.121,05</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90.806,15</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46,30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353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Subvencije poljoprivrednicima i obrtnicima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776.899,29</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52.163.310,33</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6.714,30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3531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Subvencije trgovačkim društvima, zadrugama, poljoprivredni</w:t>
            </w:r>
            <w:r w:rsidRPr="0054309C">
              <w:rPr>
                <w:rFonts w:ascii="Times New Roman" w:eastAsia="Times New Roman" w:hAnsi="Times New Roman" w:cs="Times New Roman"/>
                <w:sz w:val="16"/>
                <w:szCs w:val="16"/>
                <w:lang w:eastAsia="hr-HR"/>
              </w:rPr>
              <w:lastRenderedPageBreak/>
              <w:t>cima i obrtnicima iz EU sredstava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lastRenderedPageBreak/>
              <w:t>776.899,29</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52.163.310,33</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6.714,30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Subvencije trgovačkim društvima, zadrugama, poljoprivrednicima i obrtnicima iz EU sredstava</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25.058.382,62</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70.444.889,00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69.952.176,00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35.459.811,07</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141,51</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50,69</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Pomoći dane u inozemstvo i unutar općeg proračuna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9.935.673,46</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20.754.105,21</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208,88</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3631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Pomoći drugom proračunu i izvanproračunskim korisnicima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6.118.254,03</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6.302.221,24</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103,01</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3632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Tekuće pomoći drugom proračunu i izvanproračunskim korisnicima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3.817.419,43</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14.451.883,97</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378,58</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366</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Kapitalne pomoći drugom proračunu i izvanproračunskim korisnicima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2.896.084,80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2.607.262,07</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90,03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3661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Pomoći proračunskim korisnicima drugih proračuna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2.896.084,80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2.607.262,07</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90,03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368</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Tekuće pomoći proračunskim korisnicima drugih proračuna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12.193.442,36</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12.058.443,79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98,89</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3681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Pomoći temeljem prijenosa EU sredstava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12.193.442,36</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12.058.443,79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98,89</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369</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Tekuće pomoći temeljem prijenosa EU sredstava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33.182,00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40.000,00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120,55</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3691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Prijenosi između proračunskih korisnika istog proračuna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33.182,00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40.000,00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120,55</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37</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Tekući prijenosi između proračunskih korisnika istog proračuna</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10.021.639,31</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12.956.734,00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12.955.134,00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12.875.155,49</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128,47</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99,38</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372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Naknade građanima i kućanstvima na temelju osiguranja i druge naknade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10.021.639,31</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12.875.155,49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128,47</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lastRenderedPageBreak/>
              <w:t>3721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Ostale naknade građanima i kućanstvima iz proračuna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10.021.639,31</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12.875.155,49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128,47</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Naknade građanima i kućanstvima u novcu</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77.687.680,62</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94.827.049,00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96.051.678,00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98.914.925,72</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127,32</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102,98</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Rashodi za donacije, kazne, naknade šteta i kapitalne pomoći</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74.697.667,40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94.948.093,08</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127,11</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3811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Tekuće donacije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74.522.432,65</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93.117.909,48</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124,95</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3813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Tekuće donacije u novcu</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175.234,75</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1.830.183,60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1.044,42</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Tekuće donacije iz EU sredstava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245.000,00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265.240,34</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108,26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3821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Kapitalne donacije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245.000,00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265.240,34</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108,26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386</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Kapitalne donacije neprofitnim organizacijama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2.745.013,22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3.701.592,30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134,85</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3862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Kapitalne pomoći</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1.764.910,00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2.197.000,00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124,48</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76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3863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Kapitalne pomoći kreditnim i ostalim financijskim institucijama te trgovačkim društvima i zadrugama izvan javnog sektora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571.500,00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939.900,00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164,46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3865</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Kapitalne pomoći poljoprivrednicima i obrtnicima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408.603,22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564.692,30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138,20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765"/>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4</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b/>
                <w:bCs/>
                <w:sz w:val="16"/>
                <w:szCs w:val="16"/>
                <w:lang w:eastAsia="hr-HR"/>
              </w:rPr>
            </w:pPr>
            <w:r w:rsidRPr="0054309C">
              <w:rPr>
                <w:rFonts w:ascii="Times New Roman" w:eastAsia="Times New Roman" w:hAnsi="Times New Roman" w:cs="Times New Roman"/>
                <w:b/>
                <w:bCs/>
                <w:sz w:val="16"/>
                <w:szCs w:val="16"/>
                <w:lang w:eastAsia="hr-HR"/>
              </w:rPr>
              <w:t>Kapitalne pomoći trgovačkim društvima i obrtnicima po protestiranim jamstvima u tuzemstvu i inozemstvu</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905.735,83</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221.075,00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221.075,00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117.775,46</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13,00</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b/>
                <w:bCs/>
                <w:color w:val="000000"/>
                <w:sz w:val="16"/>
                <w:szCs w:val="16"/>
                <w:lang w:eastAsia="hr-HR"/>
              </w:rPr>
            </w:pPr>
            <w:r w:rsidRPr="0054309C">
              <w:rPr>
                <w:rFonts w:ascii="Times New Roman" w:eastAsia="Times New Roman" w:hAnsi="Times New Roman" w:cs="Times New Roman"/>
                <w:b/>
                <w:bCs/>
                <w:color w:val="000000"/>
                <w:sz w:val="16"/>
                <w:szCs w:val="16"/>
                <w:lang w:eastAsia="hr-HR"/>
              </w:rPr>
              <w:t>53,27</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41</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Rashodi za nabavu nefinancijske imovine</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112.250,32</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14.069,00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14.069,00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7.312,50</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6,51</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51,98</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412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 xml:space="preserve">Rashodi za nabavu </w:t>
            </w:r>
            <w:proofErr w:type="spellStart"/>
            <w:r w:rsidRPr="0054309C">
              <w:rPr>
                <w:rFonts w:ascii="Times New Roman" w:eastAsia="Times New Roman" w:hAnsi="Times New Roman" w:cs="Times New Roman"/>
                <w:sz w:val="16"/>
                <w:szCs w:val="16"/>
                <w:lang w:eastAsia="hr-HR"/>
              </w:rPr>
              <w:t>neproizvedene</w:t>
            </w:r>
            <w:proofErr w:type="spellEnd"/>
            <w:r w:rsidRPr="0054309C">
              <w:rPr>
                <w:rFonts w:ascii="Times New Roman" w:eastAsia="Times New Roman" w:hAnsi="Times New Roman" w:cs="Times New Roman"/>
                <w:sz w:val="16"/>
                <w:szCs w:val="16"/>
                <w:lang w:eastAsia="hr-HR"/>
              </w:rPr>
              <w:t xml:space="preserve"> dugotrajne imovine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112.250,32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7.312,50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6,51</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4123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Nematerijalna imovina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7.312,50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4126</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Licence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112250,32</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42</w:t>
            </w:r>
          </w:p>
        </w:tc>
        <w:tc>
          <w:tcPr>
            <w:tcW w:w="67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Ostala nematerijalna imovina</w:t>
            </w:r>
          </w:p>
        </w:tc>
        <w:tc>
          <w:tcPr>
            <w:tcW w:w="807"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793.485,51</w:t>
            </w:r>
          </w:p>
        </w:tc>
        <w:tc>
          <w:tcPr>
            <w:tcW w:w="738"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207.006,00</w:t>
            </w:r>
          </w:p>
        </w:tc>
        <w:tc>
          <w:tcPr>
            <w:tcW w:w="764"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207.006,00</w:t>
            </w:r>
          </w:p>
        </w:tc>
        <w:tc>
          <w:tcPr>
            <w:tcW w:w="793"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110.462,96</w:t>
            </w:r>
          </w:p>
        </w:tc>
        <w:tc>
          <w:tcPr>
            <w:tcW w:w="492"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13,92</w:t>
            </w:r>
          </w:p>
        </w:tc>
        <w:tc>
          <w:tcPr>
            <w:tcW w:w="410" w:type="pct"/>
            <w:tcBorders>
              <w:top w:val="nil"/>
              <w:left w:val="nil"/>
              <w:bottom w:val="single" w:sz="4" w:space="0" w:color="auto"/>
              <w:right w:val="single" w:sz="4" w:space="0" w:color="auto"/>
            </w:tcBorders>
            <w:shd w:val="clear" w:color="000000" w:fill="DCE6F1"/>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53,36</w:t>
            </w:r>
          </w:p>
        </w:tc>
      </w:tr>
      <w:tr w:rsidR="0054309C" w:rsidRPr="0054309C" w:rsidTr="00D826F3">
        <w:trPr>
          <w:trHeight w:val="510"/>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lastRenderedPageBreak/>
              <w:t>422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Rashodi za nabavu proizvedene dugotrajne imovine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94.728,04</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73.722,32</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77,83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4221</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Postrojenja i oprema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90.754,06</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61.891,73</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68,20</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4222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Uredska oprema i namještaj</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3.223,98</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7.513,89</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233,06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4223</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Komunikacijska oprema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750,00</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2.566,70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342,23</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4227</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Oprema za održavanje i zaštitu</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1.750,00</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426</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Uređaji, strojevi i oprema za ostale namjene</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698.757,47</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36.740,64</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5,26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r w:rsidR="0054309C" w:rsidRPr="0054309C" w:rsidTr="00D826F3">
        <w:trPr>
          <w:trHeight w:val="255"/>
        </w:trPr>
        <w:tc>
          <w:tcPr>
            <w:tcW w:w="325"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4262</w:t>
            </w:r>
          </w:p>
        </w:tc>
        <w:tc>
          <w:tcPr>
            <w:tcW w:w="67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sz w:val="16"/>
                <w:szCs w:val="16"/>
                <w:lang w:eastAsia="hr-HR"/>
              </w:rPr>
            </w:pPr>
            <w:r w:rsidRPr="0054309C">
              <w:rPr>
                <w:rFonts w:ascii="Times New Roman" w:eastAsia="Times New Roman" w:hAnsi="Times New Roman" w:cs="Times New Roman"/>
                <w:sz w:val="16"/>
                <w:szCs w:val="16"/>
                <w:lang w:eastAsia="hr-HR"/>
              </w:rPr>
              <w:t>Nematerijalna proizvedena imovina</w:t>
            </w:r>
          </w:p>
        </w:tc>
        <w:tc>
          <w:tcPr>
            <w:tcW w:w="807"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698.757,47</w:t>
            </w:r>
          </w:p>
        </w:tc>
        <w:tc>
          <w:tcPr>
            <w:tcW w:w="738"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64"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c>
          <w:tcPr>
            <w:tcW w:w="79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36.740,64</w:t>
            </w:r>
          </w:p>
        </w:tc>
        <w:tc>
          <w:tcPr>
            <w:tcW w:w="492"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5,26</w:t>
            </w:r>
          </w:p>
        </w:tc>
        <w:tc>
          <w:tcPr>
            <w:tcW w:w="410"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color w:val="000000"/>
                <w:sz w:val="16"/>
                <w:szCs w:val="16"/>
                <w:lang w:eastAsia="hr-HR"/>
              </w:rPr>
            </w:pPr>
            <w:r w:rsidRPr="0054309C">
              <w:rPr>
                <w:rFonts w:ascii="Times New Roman" w:eastAsia="Times New Roman" w:hAnsi="Times New Roman" w:cs="Times New Roman"/>
                <w:color w:val="000000"/>
                <w:sz w:val="16"/>
                <w:szCs w:val="16"/>
                <w:lang w:eastAsia="hr-HR"/>
              </w:rPr>
              <w:t> </w:t>
            </w:r>
          </w:p>
        </w:tc>
      </w:tr>
    </w:tbl>
    <w:p w:rsidR="0054309C" w:rsidRPr="0054309C" w:rsidRDefault="0054309C" w:rsidP="0054309C">
      <w:pPr>
        <w:rPr>
          <w:rFonts w:ascii="Times New Roman" w:hAnsi="Times New Roman" w:cs="Times New Roman"/>
          <w:b/>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eastAsia="Times New Roman" w:hAnsi="Times New Roman" w:cs="Times New Roman"/>
          <w:sz w:val="24"/>
          <w:szCs w:val="24"/>
          <w:lang w:eastAsia="hr-HR"/>
        </w:rPr>
        <w:t xml:space="preserve">Ostvarenje/izvršenje rashoda u izvještajnom razdoblju iznosi </w:t>
      </w:r>
      <w:r w:rsidRPr="0054309C">
        <w:rPr>
          <w:rFonts w:ascii="Times New Roman" w:eastAsia="Times New Roman" w:hAnsi="Times New Roman" w:cs="Times New Roman"/>
          <w:bCs/>
          <w:color w:val="000000"/>
          <w:sz w:val="24"/>
          <w:szCs w:val="24"/>
          <w:lang w:eastAsia="hr-HR"/>
        </w:rPr>
        <w:t>210.579.143,22</w:t>
      </w:r>
      <w:r w:rsidRPr="0054309C">
        <w:rPr>
          <w:rFonts w:ascii="Times New Roman" w:eastAsia="Times New Roman" w:hAnsi="Times New Roman" w:cs="Times New Roman"/>
          <w:sz w:val="24"/>
          <w:szCs w:val="24"/>
          <w:lang w:eastAsia="hr-HR"/>
        </w:rPr>
        <w:t xml:space="preserve"> eura </w:t>
      </w:r>
      <w:r w:rsidRPr="0054309C">
        <w:rPr>
          <w:rFonts w:ascii="Times New Roman" w:hAnsi="Times New Roman" w:cs="Times New Roman"/>
          <w:sz w:val="24"/>
          <w:szCs w:val="24"/>
        </w:rPr>
        <w:t xml:space="preserve">koji u odnosu na ostvareno izvršenje 2023. godine za isto izvještajno razdoblje imaju izvršenje </w:t>
      </w:r>
      <w:r w:rsidRPr="0054309C">
        <w:rPr>
          <w:rFonts w:ascii="Times New Roman" w:eastAsia="Times New Roman" w:hAnsi="Times New Roman" w:cs="Times New Roman"/>
          <w:bCs/>
          <w:color w:val="000000"/>
          <w:sz w:val="24"/>
          <w:szCs w:val="24"/>
          <w:lang w:eastAsia="hr-HR"/>
        </w:rPr>
        <w:t>169,51</w:t>
      </w:r>
      <w:r w:rsidRPr="0054309C">
        <w:rPr>
          <w:rFonts w:ascii="Times New Roman" w:hAnsi="Times New Roman" w:cs="Times New Roman"/>
          <w:sz w:val="24"/>
          <w:szCs w:val="24"/>
        </w:rPr>
        <w:t>% a u odnosu na tekući plan 2024. godine 86,51%.</w:t>
      </w:r>
    </w:p>
    <w:p w:rsidR="0054309C" w:rsidRPr="0054309C" w:rsidRDefault="0054309C" w:rsidP="0054309C">
      <w:pPr>
        <w:spacing w:after="0" w:line="240" w:lineRule="auto"/>
        <w:jc w:val="both"/>
        <w:rPr>
          <w:rFonts w:ascii="Times New Roman" w:eastAsia="Times New Roman" w:hAnsi="Times New Roman" w:cs="Times New Roman"/>
          <w:sz w:val="24"/>
          <w:szCs w:val="24"/>
          <w:lang w:eastAsia="hr-HR"/>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Najveći dio ostvarenih rashoda u iznosu od 52.826.262,85 eura, odnosi se na grupu konta 35 - Subvencije, na kojima se evidentiraju plaćanja prema korisnicima vezana za EU projekte koje provodi ministarstvo te plaćanja prema korisnicima iz sredstva za Mehanizam za oporavak i otpornost a koja su planirana za provedbu Nacionalnog plana oporavka i otpornosti </w:t>
      </w:r>
      <w:proofErr w:type="spellStart"/>
      <w:r w:rsidRPr="0054309C">
        <w:rPr>
          <w:rFonts w:ascii="Times New Roman" w:hAnsi="Times New Roman" w:cs="Times New Roman"/>
          <w:sz w:val="24"/>
          <w:szCs w:val="24"/>
        </w:rPr>
        <w:t>Podkomponenta</w:t>
      </w:r>
      <w:proofErr w:type="spellEnd"/>
      <w:r w:rsidRPr="0054309C">
        <w:rPr>
          <w:rFonts w:ascii="Times New Roman" w:hAnsi="Times New Roman" w:cs="Times New Roman"/>
          <w:sz w:val="24"/>
          <w:szCs w:val="24"/>
        </w:rPr>
        <w:t xml:space="preserve"> 1.6 Razvoj održivog, inovativnog i otpornog turizma.</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Ostvareni rashodi u odnosu na ostvareno izvršenje 2023. godine za isto izvještajno razdoblje imaju izvršenje 2.863,49 % a u odnosu na tekući plan 2024. godine 100,48%.</w:t>
      </w:r>
    </w:p>
    <w:p w:rsidR="0054309C" w:rsidRPr="0054309C" w:rsidRDefault="0054309C" w:rsidP="0054309C">
      <w:pPr>
        <w:spacing w:after="0" w:line="240" w:lineRule="auto"/>
        <w:jc w:val="both"/>
        <w:rPr>
          <w:rFonts w:ascii="Times New Roman" w:eastAsia="Times New Roman" w:hAnsi="Times New Roman" w:cs="Times New Roman"/>
          <w:sz w:val="24"/>
          <w:szCs w:val="24"/>
          <w:lang w:eastAsia="hr-HR"/>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Najveći dio ostvarenih rashoda u iznosu od </w:t>
      </w:r>
      <w:r w:rsidRPr="0054309C">
        <w:rPr>
          <w:rFonts w:ascii="Times New Roman" w:eastAsia="Times New Roman" w:hAnsi="Times New Roman" w:cs="Times New Roman"/>
          <w:color w:val="000000"/>
          <w:sz w:val="24"/>
          <w:szCs w:val="24"/>
          <w:lang w:eastAsia="hr-HR"/>
        </w:rPr>
        <w:t>35.459.811,07</w:t>
      </w:r>
      <w:r w:rsidRPr="0054309C">
        <w:rPr>
          <w:rFonts w:ascii="Times New Roman" w:hAnsi="Times New Roman" w:cs="Times New Roman"/>
          <w:sz w:val="24"/>
          <w:szCs w:val="24"/>
        </w:rPr>
        <w:t xml:space="preserve"> eura, odnosi se na grupu konta 36 - Pomoći dane u inozemstvo i unutar općeg proračuna, na kojima se evidentiraju na plaćanja prema korisnicima vezana za EU projekte koje provodi ministarstvo. Ostvareni rashodi u odnosu na ostvareno izvršenje 2023. godine za isto izvještajno razdoblje imaju izvršenje 141,50 % a u odnosu na tekući plan 2024. godine 50,69%.</w:t>
      </w:r>
    </w:p>
    <w:p w:rsidR="0054309C" w:rsidRPr="0054309C" w:rsidRDefault="0054309C" w:rsidP="0054309C">
      <w:pPr>
        <w:spacing w:after="0" w:line="240" w:lineRule="auto"/>
        <w:jc w:val="both"/>
        <w:rPr>
          <w:rFonts w:ascii="Times New Roman" w:eastAsia="Times New Roman" w:hAnsi="Times New Roman" w:cs="Times New Roman"/>
          <w:sz w:val="24"/>
          <w:szCs w:val="24"/>
          <w:lang w:eastAsia="hr-HR"/>
        </w:rPr>
      </w:pP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eastAsia="Times New Roman" w:hAnsi="Times New Roman" w:cs="Times New Roman"/>
          <w:sz w:val="24"/>
          <w:szCs w:val="24"/>
          <w:lang w:eastAsia="hr-HR"/>
        </w:rPr>
      </w:pPr>
      <w:r w:rsidRPr="0054309C">
        <w:rPr>
          <w:rFonts w:ascii="Times New Roman" w:hAnsi="Times New Roman" w:cs="Times New Roman"/>
          <w:sz w:val="24"/>
          <w:szCs w:val="24"/>
        </w:rPr>
        <w:t>Zatim, ostvareni rashodi unutar skupine konta 38 - Ostali rashodi iznose 98.914.925,72 eura koji u odnosu na ostvareno izvršenje 2023. godine za isto izvještajno razdoblje imaju izvršenje 127,32% a u odnosu na tekući plan 2024. godine 102,98% a odnose se na ugovorne obveze prema neprofitnim organizacijama.</w:t>
      </w:r>
    </w:p>
    <w:p w:rsidR="0054309C" w:rsidRPr="0054309C" w:rsidRDefault="0054309C" w:rsidP="0054309C">
      <w:pPr>
        <w:rPr>
          <w:rFonts w:ascii="Times New Roman" w:hAnsi="Times New Roman" w:cs="Times New Roman"/>
          <w:b/>
          <w:sz w:val="24"/>
          <w:szCs w:val="24"/>
        </w:rPr>
      </w:pPr>
    </w:p>
    <w:p w:rsidR="0054309C" w:rsidRDefault="0054309C" w:rsidP="0054309C">
      <w:pPr>
        <w:jc w:val="both"/>
        <w:rPr>
          <w:rFonts w:ascii="Times New Roman" w:hAnsi="Times New Roman" w:cs="Times New Roman"/>
          <w:b/>
          <w:sz w:val="24"/>
          <w:szCs w:val="24"/>
        </w:rPr>
      </w:pPr>
    </w:p>
    <w:p w:rsidR="00A32477" w:rsidRDefault="00A32477" w:rsidP="0054309C">
      <w:pPr>
        <w:jc w:val="both"/>
        <w:rPr>
          <w:rFonts w:ascii="Times New Roman" w:hAnsi="Times New Roman" w:cs="Times New Roman"/>
          <w:b/>
          <w:sz w:val="24"/>
          <w:szCs w:val="24"/>
        </w:rPr>
      </w:pPr>
    </w:p>
    <w:p w:rsidR="00753EA6" w:rsidRDefault="00753EA6" w:rsidP="0054309C">
      <w:pPr>
        <w:jc w:val="both"/>
        <w:rPr>
          <w:rFonts w:ascii="Times New Roman" w:hAnsi="Times New Roman" w:cs="Times New Roman"/>
          <w:b/>
          <w:sz w:val="24"/>
          <w:szCs w:val="24"/>
        </w:rPr>
      </w:pPr>
    </w:p>
    <w:p w:rsidR="00753EA6" w:rsidRPr="0054309C" w:rsidRDefault="00753EA6" w:rsidP="0054309C">
      <w:pPr>
        <w:jc w:val="both"/>
        <w:rPr>
          <w:rFonts w:ascii="Times New Roman" w:hAnsi="Times New Roman" w:cs="Times New Roman"/>
          <w:b/>
          <w:sz w:val="24"/>
          <w:szCs w:val="24"/>
        </w:rPr>
      </w:pPr>
    </w:p>
    <w:p w:rsidR="0054309C" w:rsidRPr="0054309C" w:rsidRDefault="0054309C" w:rsidP="0054309C">
      <w:pPr>
        <w:jc w:val="both"/>
        <w:rPr>
          <w:rFonts w:ascii="Times New Roman" w:hAnsi="Times New Roman" w:cs="Times New Roman"/>
          <w:b/>
          <w:sz w:val="24"/>
          <w:szCs w:val="24"/>
        </w:rPr>
      </w:pPr>
      <w:r w:rsidRPr="0054309C">
        <w:rPr>
          <w:rFonts w:ascii="Times New Roman" w:hAnsi="Times New Roman" w:cs="Times New Roman"/>
          <w:b/>
          <w:sz w:val="24"/>
          <w:szCs w:val="24"/>
        </w:rPr>
        <w:lastRenderedPageBreak/>
        <w:t>Ostvarenje prijenosa sredstva iz prethodne godine i prijenosa sredstava u slijedeću godinu/razdoblje</w:t>
      </w:r>
    </w:p>
    <w:p w:rsidR="0054309C" w:rsidRPr="0054309C" w:rsidRDefault="0054309C" w:rsidP="0054309C">
      <w:pPr>
        <w:jc w:val="both"/>
        <w:rPr>
          <w:rFonts w:ascii="Times New Roman" w:hAnsi="Times New Roman" w:cs="Times New Roman"/>
          <w:b/>
          <w:sz w:val="24"/>
          <w:szCs w:val="24"/>
        </w:rPr>
      </w:pPr>
    </w:p>
    <w:tbl>
      <w:tblPr>
        <w:tblW w:w="5081" w:type="pct"/>
        <w:tblInd w:w="-147" w:type="dxa"/>
        <w:tblLayout w:type="fixed"/>
        <w:tblLook w:val="04A0" w:firstRow="1" w:lastRow="0" w:firstColumn="1" w:lastColumn="0" w:noHBand="0" w:noVBand="1"/>
      </w:tblPr>
      <w:tblGrid>
        <w:gridCol w:w="1418"/>
        <w:gridCol w:w="1949"/>
        <w:gridCol w:w="1170"/>
        <w:gridCol w:w="849"/>
        <w:gridCol w:w="2043"/>
        <w:gridCol w:w="890"/>
        <w:gridCol w:w="890"/>
      </w:tblGrid>
      <w:tr w:rsidR="0054309C" w:rsidRPr="0054309C" w:rsidTr="00D826F3">
        <w:trPr>
          <w:trHeight w:val="975"/>
        </w:trPr>
        <w:tc>
          <w:tcPr>
            <w:tcW w:w="770" w:type="pct"/>
            <w:tcBorders>
              <w:top w:val="single" w:sz="4" w:space="0" w:color="auto"/>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t>BROJČANA OZNAKA I NAZIV</w:t>
            </w:r>
          </w:p>
        </w:tc>
        <w:tc>
          <w:tcPr>
            <w:tcW w:w="1058"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br/>
              <w:t xml:space="preserve">OSTVARENJE/IZVRŠENJE </w:t>
            </w:r>
            <w:r w:rsidRPr="0054309C">
              <w:rPr>
                <w:rFonts w:ascii="Times New Roman" w:eastAsia="Times New Roman" w:hAnsi="Times New Roman" w:cs="Times New Roman"/>
                <w:b/>
                <w:bCs/>
                <w:color w:val="000000"/>
                <w:sz w:val="18"/>
                <w:szCs w:val="18"/>
                <w:lang w:eastAsia="hr-HR"/>
              </w:rPr>
              <w:br/>
              <w:t>01.2023. - 12.2023.</w:t>
            </w:r>
          </w:p>
        </w:tc>
        <w:tc>
          <w:tcPr>
            <w:tcW w:w="635"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br/>
              <w:t xml:space="preserve">IZVORNI PLAN ILI REBALANS </w:t>
            </w:r>
            <w:r w:rsidRPr="0054309C">
              <w:rPr>
                <w:rFonts w:ascii="Times New Roman" w:eastAsia="Times New Roman" w:hAnsi="Times New Roman" w:cs="Times New Roman"/>
                <w:b/>
                <w:bCs/>
                <w:color w:val="000000"/>
                <w:sz w:val="18"/>
                <w:szCs w:val="18"/>
                <w:lang w:eastAsia="hr-HR"/>
              </w:rPr>
              <w:br/>
              <w:t>2024.</w:t>
            </w:r>
          </w:p>
        </w:tc>
        <w:tc>
          <w:tcPr>
            <w:tcW w:w="461"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br/>
              <w:t xml:space="preserve">TEKUĆI PLAN </w:t>
            </w:r>
            <w:r w:rsidRPr="0054309C">
              <w:rPr>
                <w:rFonts w:ascii="Times New Roman" w:eastAsia="Times New Roman" w:hAnsi="Times New Roman" w:cs="Times New Roman"/>
                <w:b/>
                <w:bCs/>
                <w:color w:val="000000"/>
                <w:sz w:val="18"/>
                <w:szCs w:val="18"/>
                <w:lang w:eastAsia="hr-HR"/>
              </w:rPr>
              <w:br/>
              <w:t>2024.</w:t>
            </w:r>
          </w:p>
        </w:tc>
        <w:tc>
          <w:tcPr>
            <w:tcW w:w="1109"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br/>
              <w:t xml:space="preserve">OSTVARENJE/IZVRŠENJE </w:t>
            </w:r>
            <w:r w:rsidRPr="0054309C">
              <w:rPr>
                <w:rFonts w:ascii="Times New Roman" w:eastAsia="Times New Roman" w:hAnsi="Times New Roman" w:cs="Times New Roman"/>
                <w:b/>
                <w:bCs/>
                <w:color w:val="000000"/>
                <w:sz w:val="18"/>
                <w:szCs w:val="18"/>
                <w:lang w:eastAsia="hr-HR"/>
              </w:rPr>
              <w:br/>
              <w:t>01.2024. - 12.2024.</w:t>
            </w:r>
          </w:p>
        </w:tc>
        <w:tc>
          <w:tcPr>
            <w:tcW w:w="483"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br/>
              <w:t>INDEKS</w:t>
            </w:r>
            <w:r w:rsidRPr="0054309C">
              <w:rPr>
                <w:rFonts w:ascii="Times New Roman" w:eastAsia="Times New Roman" w:hAnsi="Times New Roman" w:cs="Times New Roman"/>
                <w:b/>
                <w:bCs/>
                <w:color w:val="000000"/>
                <w:sz w:val="18"/>
                <w:szCs w:val="18"/>
                <w:lang w:eastAsia="hr-HR"/>
              </w:rPr>
              <w:br/>
              <w:t>(5)/(2)</w:t>
            </w:r>
          </w:p>
        </w:tc>
        <w:tc>
          <w:tcPr>
            <w:tcW w:w="483" w:type="pct"/>
            <w:tcBorders>
              <w:top w:val="single" w:sz="4" w:space="0" w:color="auto"/>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br/>
              <w:t>INDEKS</w:t>
            </w:r>
            <w:r w:rsidRPr="0054309C">
              <w:rPr>
                <w:rFonts w:ascii="Times New Roman" w:eastAsia="Times New Roman" w:hAnsi="Times New Roman" w:cs="Times New Roman"/>
                <w:b/>
                <w:bCs/>
                <w:color w:val="000000"/>
                <w:sz w:val="18"/>
                <w:szCs w:val="18"/>
                <w:lang w:eastAsia="hr-HR"/>
              </w:rPr>
              <w:br/>
              <w:t>(5)/(4)</w:t>
            </w:r>
          </w:p>
        </w:tc>
      </w:tr>
      <w:tr w:rsidR="0054309C" w:rsidRPr="0054309C" w:rsidTr="00D826F3">
        <w:trPr>
          <w:trHeight w:val="225"/>
        </w:trPr>
        <w:tc>
          <w:tcPr>
            <w:tcW w:w="770" w:type="pct"/>
            <w:tcBorders>
              <w:top w:val="single" w:sz="4" w:space="0" w:color="auto"/>
              <w:left w:val="single" w:sz="4" w:space="0" w:color="auto"/>
              <w:bottom w:val="single" w:sz="4" w:space="0" w:color="auto"/>
              <w:right w:val="nil"/>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t>1</w:t>
            </w:r>
          </w:p>
        </w:tc>
        <w:tc>
          <w:tcPr>
            <w:tcW w:w="1058" w:type="pct"/>
            <w:tcBorders>
              <w:top w:val="nil"/>
              <w:left w:val="single" w:sz="4" w:space="0" w:color="auto"/>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t>2</w:t>
            </w:r>
          </w:p>
        </w:tc>
        <w:tc>
          <w:tcPr>
            <w:tcW w:w="635"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t>3</w:t>
            </w:r>
          </w:p>
        </w:tc>
        <w:tc>
          <w:tcPr>
            <w:tcW w:w="461"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t>4</w:t>
            </w:r>
          </w:p>
        </w:tc>
        <w:tc>
          <w:tcPr>
            <w:tcW w:w="1109"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t>5</w:t>
            </w:r>
          </w:p>
        </w:tc>
        <w:tc>
          <w:tcPr>
            <w:tcW w:w="483"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t>6=5/2*100</w:t>
            </w:r>
          </w:p>
        </w:tc>
        <w:tc>
          <w:tcPr>
            <w:tcW w:w="483" w:type="pct"/>
            <w:tcBorders>
              <w:top w:val="nil"/>
              <w:left w:val="nil"/>
              <w:bottom w:val="single" w:sz="4" w:space="0" w:color="auto"/>
              <w:right w:val="single" w:sz="4" w:space="0" w:color="auto"/>
            </w:tcBorders>
            <w:shd w:val="clear" w:color="000000" w:fill="DCE6F1"/>
            <w:vAlign w:val="center"/>
            <w:hideMark/>
          </w:tcPr>
          <w:p w:rsidR="0054309C" w:rsidRPr="0054309C" w:rsidRDefault="0054309C" w:rsidP="0054309C">
            <w:pPr>
              <w:spacing w:after="0" w:line="240" w:lineRule="auto"/>
              <w:jc w:val="center"/>
              <w:rPr>
                <w:rFonts w:ascii="Times New Roman" w:eastAsia="Times New Roman" w:hAnsi="Times New Roman" w:cs="Times New Roman"/>
                <w:b/>
                <w:bCs/>
                <w:color w:val="000000"/>
                <w:sz w:val="18"/>
                <w:szCs w:val="18"/>
                <w:lang w:eastAsia="hr-HR"/>
              </w:rPr>
            </w:pPr>
            <w:r w:rsidRPr="0054309C">
              <w:rPr>
                <w:rFonts w:ascii="Times New Roman" w:eastAsia="Times New Roman" w:hAnsi="Times New Roman" w:cs="Times New Roman"/>
                <w:b/>
                <w:bCs/>
                <w:color w:val="000000"/>
                <w:sz w:val="18"/>
                <w:szCs w:val="18"/>
                <w:lang w:eastAsia="hr-HR"/>
              </w:rPr>
              <w:t>7=5/4*100</w:t>
            </w:r>
          </w:p>
        </w:tc>
      </w:tr>
      <w:tr w:rsidR="0054309C" w:rsidRPr="0054309C" w:rsidTr="00D826F3">
        <w:trPr>
          <w:trHeight w:val="255"/>
        </w:trPr>
        <w:tc>
          <w:tcPr>
            <w:tcW w:w="770" w:type="pct"/>
            <w:tcBorders>
              <w:top w:val="single" w:sz="4" w:space="0" w:color="auto"/>
              <w:left w:val="single" w:sz="4" w:space="0" w:color="auto"/>
              <w:bottom w:val="single" w:sz="4" w:space="0" w:color="auto"/>
              <w:right w:val="nil"/>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PRIJENOS SREDSTAVA IZ PRETHODNE GODINE</w:t>
            </w:r>
          </w:p>
        </w:tc>
        <w:tc>
          <w:tcPr>
            <w:tcW w:w="1058"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jc w:val="right"/>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6.843.562,15</w:t>
            </w:r>
          </w:p>
        </w:tc>
        <w:tc>
          <w:tcPr>
            <w:tcW w:w="635"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 </w:t>
            </w:r>
          </w:p>
        </w:tc>
        <w:tc>
          <w:tcPr>
            <w:tcW w:w="4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 </w:t>
            </w:r>
          </w:p>
        </w:tc>
        <w:tc>
          <w:tcPr>
            <w:tcW w:w="1109"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jc w:val="right"/>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10.243.614,11</w:t>
            </w:r>
          </w:p>
        </w:tc>
        <w:tc>
          <w:tcPr>
            <w:tcW w:w="48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Cs/>
                <w:color w:val="000000"/>
                <w:sz w:val="18"/>
                <w:szCs w:val="18"/>
                <w:lang w:eastAsia="hr-HR"/>
              </w:rPr>
            </w:pPr>
            <w:r w:rsidRPr="0054309C">
              <w:rPr>
                <w:rFonts w:ascii="Times New Roman" w:eastAsia="Times New Roman" w:hAnsi="Times New Roman" w:cs="Times New Roman"/>
                <w:bCs/>
                <w:color w:val="000000"/>
                <w:sz w:val="18"/>
                <w:szCs w:val="18"/>
                <w:lang w:eastAsia="hr-HR"/>
              </w:rPr>
              <w:t>149,68</w:t>
            </w:r>
          </w:p>
        </w:tc>
        <w:tc>
          <w:tcPr>
            <w:tcW w:w="48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Cs/>
                <w:color w:val="000000"/>
                <w:sz w:val="18"/>
                <w:szCs w:val="18"/>
                <w:lang w:eastAsia="hr-HR"/>
              </w:rPr>
            </w:pPr>
            <w:r w:rsidRPr="0054309C">
              <w:rPr>
                <w:rFonts w:ascii="Times New Roman" w:eastAsia="Times New Roman" w:hAnsi="Times New Roman" w:cs="Times New Roman"/>
                <w:bCs/>
                <w:color w:val="000000"/>
                <w:sz w:val="18"/>
                <w:szCs w:val="18"/>
                <w:lang w:eastAsia="hr-HR"/>
              </w:rPr>
              <w:t> </w:t>
            </w:r>
          </w:p>
        </w:tc>
      </w:tr>
      <w:tr w:rsidR="0054309C" w:rsidRPr="0054309C" w:rsidTr="00D826F3">
        <w:trPr>
          <w:trHeight w:val="255"/>
        </w:trPr>
        <w:tc>
          <w:tcPr>
            <w:tcW w:w="770" w:type="pct"/>
            <w:tcBorders>
              <w:top w:val="single" w:sz="4" w:space="0" w:color="auto"/>
              <w:left w:val="single" w:sz="4" w:space="0" w:color="auto"/>
              <w:bottom w:val="single" w:sz="4" w:space="0" w:color="auto"/>
              <w:right w:val="nil"/>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PRIJENOS SREDSTAVA U SLJEDEĆE RAZDOBLJE</w:t>
            </w:r>
          </w:p>
        </w:tc>
        <w:tc>
          <w:tcPr>
            <w:tcW w:w="1058" w:type="pct"/>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jc w:val="right"/>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-5.121.953,76</w:t>
            </w:r>
          </w:p>
        </w:tc>
        <w:tc>
          <w:tcPr>
            <w:tcW w:w="635"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 </w:t>
            </w:r>
          </w:p>
        </w:tc>
        <w:tc>
          <w:tcPr>
            <w:tcW w:w="461"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 </w:t>
            </w:r>
          </w:p>
        </w:tc>
        <w:tc>
          <w:tcPr>
            <w:tcW w:w="1109" w:type="pct"/>
            <w:tcBorders>
              <w:top w:val="nil"/>
              <w:left w:val="nil"/>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jc w:val="right"/>
              <w:rPr>
                <w:rFonts w:ascii="Times New Roman" w:eastAsia="Times New Roman" w:hAnsi="Times New Roman" w:cs="Times New Roman"/>
                <w:bCs/>
                <w:sz w:val="18"/>
                <w:szCs w:val="18"/>
                <w:lang w:eastAsia="hr-HR"/>
              </w:rPr>
            </w:pPr>
            <w:r w:rsidRPr="0054309C">
              <w:rPr>
                <w:rFonts w:ascii="Times New Roman" w:eastAsia="Times New Roman" w:hAnsi="Times New Roman" w:cs="Times New Roman"/>
                <w:bCs/>
                <w:sz w:val="18"/>
                <w:szCs w:val="18"/>
                <w:lang w:eastAsia="hr-HR"/>
              </w:rPr>
              <w:t>-34.674.272,89</w:t>
            </w:r>
          </w:p>
        </w:tc>
        <w:tc>
          <w:tcPr>
            <w:tcW w:w="48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Cs/>
                <w:color w:val="000000"/>
                <w:sz w:val="18"/>
                <w:szCs w:val="18"/>
                <w:lang w:eastAsia="hr-HR"/>
              </w:rPr>
            </w:pPr>
            <w:r w:rsidRPr="0054309C">
              <w:rPr>
                <w:rFonts w:ascii="Times New Roman" w:eastAsia="Times New Roman" w:hAnsi="Times New Roman" w:cs="Times New Roman"/>
                <w:bCs/>
                <w:color w:val="000000"/>
                <w:sz w:val="18"/>
                <w:szCs w:val="18"/>
                <w:lang w:eastAsia="hr-HR"/>
              </w:rPr>
              <w:t>676,97</w:t>
            </w:r>
          </w:p>
        </w:tc>
        <w:tc>
          <w:tcPr>
            <w:tcW w:w="483" w:type="pct"/>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Times New Roman" w:eastAsia="Times New Roman" w:hAnsi="Times New Roman" w:cs="Times New Roman"/>
                <w:bCs/>
                <w:color w:val="000000"/>
                <w:sz w:val="18"/>
                <w:szCs w:val="18"/>
                <w:lang w:eastAsia="hr-HR"/>
              </w:rPr>
            </w:pPr>
            <w:r w:rsidRPr="0054309C">
              <w:rPr>
                <w:rFonts w:ascii="Times New Roman" w:eastAsia="Times New Roman" w:hAnsi="Times New Roman" w:cs="Times New Roman"/>
                <w:bCs/>
                <w:color w:val="000000"/>
                <w:sz w:val="18"/>
                <w:szCs w:val="18"/>
                <w:lang w:eastAsia="hr-HR"/>
              </w:rPr>
              <w:t> </w:t>
            </w:r>
          </w:p>
        </w:tc>
      </w:tr>
    </w:tbl>
    <w:p w:rsidR="0054309C" w:rsidRPr="0054309C" w:rsidRDefault="0054309C" w:rsidP="0054309C">
      <w:pPr>
        <w:jc w:val="both"/>
        <w:rPr>
          <w:rFonts w:ascii="Times New Roman" w:hAnsi="Times New Roman" w:cs="Times New Roman"/>
          <w:b/>
          <w:sz w:val="24"/>
          <w:szCs w:val="24"/>
        </w:rPr>
      </w:pP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Ostvareni prijenos sredstva iz 2023. godine za izvještajno razdoblje od 01. siječnja 2023. do 31. prosinca 2023. godine iznosi 6.843.562,15 eura a odnosi se na prihode od igara na sreću, naknade za koncesije za turističko zemljište, ostale prihode državne uprave za posebne namjene,  pomoći EU i ostale pomoći. Prijenos sredstva u slijedeću godinu za izvještajno razdoblje iznosi 5.121.953,76 eura. </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Za izvještajno razdoblje od 01. siječnja 2024. do 31. prosinca 2024. godine ostvareni prijenos sredstva iz 2023. godine iznosi 10.243.614,11 eura a odnosi se na prihode od igara na sreću, naknade za koncesije za turističko zemljište, prihoda od zakupa dijela kampova u vlasništvu Republike Hrvatske te kupoprodajne cijene, u slučaju prodaje tih kampova, kao i od zakupnine i kupoprodajne cijene turističkog zemljišta. Sveukupno 40% navedenih sredstava uplaćuje se u Fond za turizam kojim upravlja tijelo državne uprave nadležno za turizam, ostalih prihoda državne uprave za posebne namjene, pomoći EU i ostale pomoći. Prijenos sredstva u slijedeću godinu za izvještajno razdoblje iznosi 34.674.272,89 eura. </w:t>
      </w:r>
    </w:p>
    <w:p w:rsidR="0054309C" w:rsidRDefault="0054309C" w:rsidP="0054309C">
      <w:pPr>
        <w:ind w:left="720"/>
        <w:contextualSpacing/>
        <w:jc w:val="both"/>
        <w:rPr>
          <w:rFonts w:ascii="Times New Roman" w:hAnsi="Times New Roman" w:cs="Times New Roman"/>
          <w:sz w:val="24"/>
          <w:szCs w:val="24"/>
        </w:rPr>
      </w:pPr>
    </w:p>
    <w:p w:rsidR="00A32477" w:rsidRDefault="00A32477" w:rsidP="0054309C">
      <w:pPr>
        <w:ind w:left="720"/>
        <w:contextualSpacing/>
        <w:jc w:val="both"/>
        <w:rPr>
          <w:rFonts w:ascii="Times New Roman" w:hAnsi="Times New Roman" w:cs="Times New Roman"/>
          <w:sz w:val="24"/>
          <w:szCs w:val="24"/>
        </w:rPr>
      </w:pPr>
    </w:p>
    <w:p w:rsidR="00A32477" w:rsidRDefault="00A32477" w:rsidP="0054309C">
      <w:pPr>
        <w:ind w:left="720"/>
        <w:contextualSpacing/>
        <w:jc w:val="both"/>
        <w:rPr>
          <w:rFonts w:ascii="Times New Roman" w:hAnsi="Times New Roman" w:cs="Times New Roman"/>
          <w:sz w:val="24"/>
          <w:szCs w:val="24"/>
        </w:rPr>
      </w:pPr>
    </w:p>
    <w:p w:rsidR="00A32477" w:rsidRDefault="00A32477" w:rsidP="0054309C">
      <w:pPr>
        <w:ind w:left="720"/>
        <w:contextualSpacing/>
        <w:jc w:val="both"/>
        <w:rPr>
          <w:rFonts w:ascii="Times New Roman" w:hAnsi="Times New Roman" w:cs="Times New Roman"/>
          <w:sz w:val="24"/>
          <w:szCs w:val="24"/>
        </w:rPr>
      </w:pPr>
    </w:p>
    <w:p w:rsidR="00A32477" w:rsidRDefault="00A32477" w:rsidP="0054309C">
      <w:pPr>
        <w:ind w:left="720"/>
        <w:contextualSpacing/>
        <w:jc w:val="both"/>
        <w:rPr>
          <w:rFonts w:ascii="Times New Roman" w:hAnsi="Times New Roman" w:cs="Times New Roman"/>
          <w:sz w:val="24"/>
          <w:szCs w:val="24"/>
        </w:rPr>
      </w:pPr>
    </w:p>
    <w:p w:rsidR="00A32477" w:rsidRDefault="00A32477" w:rsidP="0054309C">
      <w:pPr>
        <w:ind w:left="720"/>
        <w:contextualSpacing/>
        <w:jc w:val="both"/>
        <w:rPr>
          <w:rFonts w:ascii="Times New Roman" w:hAnsi="Times New Roman" w:cs="Times New Roman"/>
          <w:sz w:val="24"/>
          <w:szCs w:val="24"/>
        </w:rPr>
      </w:pPr>
    </w:p>
    <w:p w:rsidR="00A32477" w:rsidRDefault="00A32477" w:rsidP="0054309C">
      <w:pPr>
        <w:ind w:left="720"/>
        <w:contextualSpacing/>
        <w:jc w:val="both"/>
        <w:rPr>
          <w:rFonts w:ascii="Times New Roman" w:hAnsi="Times New Roman" w:cs="Times New Roman"/>
          <w:sz w:val="24"/>
          <w:szCs w:val="24"/>
        </w:rPr>
      </w:pPr>
    </w:p>
    <w:p w:rsidR="00A32477" w:rsidRDefault="00A32477" w:rsidP="0054309C">
      <w:pPr>
        <w:ind w:left="720"/>
        <w:contextualSpacing/>
        <w:jc w:val="both"/>
        <w:rPr>
          <w:rFonts w:ascii="Times New Roman" w:hAnsi="Times New Roman" w:cs="Times New Roman"/>
          <w:sz w:val="24"/>
          <w:szCs w:val="24"/>
        </w:rPr>
      </w:pPr>
    </w:p>
    <w:p w:rsidR="00A32477" w:rsidRDefault="00A32477" w:rsidP="0054309C">
      <w:pPr>
        <w:ind w:left="720"/>
        <w:contextualSpacing/>
        <w:jc w:val="both"/>
        <w:rPr>
          <w:rFonts w:ascii="Times New Roman" w:hAnsi="Times New Roman" w:cs="Times New Roman"/>
          <w:sz w:val="24"/>
          <w:szCs w:val="24"/>
        </w:rPr>
      </w:pPr>
    </w:p>
    <w:p w:rsidR="00A32477" w:rsidRDefault="00A32477" w:rsidP="0054309C">
      <w:pPr>
        <w:ind w:left="720"/>
        <w:contextualSpacing/>
        <w:jc w:val="both"/>
        <w:rPr>
          <w:rFonts w:ascii="Times New Roman" w:hAnsi="Times New Roman" w:cs="Times New Roman"/>
          <w:sz w:val="24"/>
          <w:szCs w:val="24"/>
        </w:rPr>
      </w:pPr>
    </w:p>
    <w:p w:rsidR="00A32477" w:rsidRPr="0054309C" w:rsidRDefault="00A32477" w:rsidP="0054309C">
      <w:pPr>
        <w:ind w:left="720"/>
        <w:contextualSpacing/>
        <w:jc w:val="both"/>
        <w:rPr>
          <w:rFonts w:ascii="Times New Roman" w:hAnsi="Times New Roman" w:cs="Times New Roman"/>
          <w:sz w:val="24"/>
          <w:szCs w:val="24"/>
        </w:rPr>
      </w:pPr>
    </w:p>
    <w:p w:rsidR="0054309C" w:rsidRPr="0054309C" w:rsidRDefault="0054309C" w:rsidP="0054309C">
      <w:pPr>
        <w:ind w:left="720"/>
        <w:contextualSpacing/>
        <w:jc w:val="both"/>
        <w:rPr>
          <w:rFonts w:ascii="Times New Roman" w:hAnsi="Times New Roman" w:cs="Times New Roman"/>
          <w:sz w:val="24"/>
          <w:szCs w:val="24"/>
        </w:rPr>
      </w:pPr>
    </w:p>
    <w:p w:rsidR="0054309C" w:rsidRPr="0054309C" w:rsidRDefault="0054309C" w:rsidP="0054309C">
      <w:pPr>
        <w:rPr>
          <w:rFonts w:ascii="Times New Roman" w:hAnsi="Times New Roman" w:cs="Times New Roman"/>
          <w:sz w:val="24"/>
          <w:szCs w:val="24"/>
        </w:rPr>
      </w:pPr>
    </w:p>
    <w:p w:rsidR="0054309C" w:rsidRPr="0054309C" w:rsidRDefault="0054309C" w:rsidP="0054309C">
      <w:pPr>
        <w:numPr>
          <w:ilvl w:val="0"/>
          <w:numId w:val="4"/>
        </w:numPr>
        <w:spacing w:after="0" w:line="240" w:lineRule="auto"/>
        <w:contextualSpacing/>
        <w:rPr>
          <w:rFonts w:ascii="Times New Roman" w:hAnsi="Times New Roman" w:cs="Times New Roman"/>
          <w:b/>
          <w:sz w:val="24"/>
          <w:szCs w:val="24"/>
        </w:rPr>
      </w:pPr>
      <w:r w:rsidRPr="0054309C">
        <w:rPr>
          <w:rFonts w:ascii="Times New Roman" w:hAnsi="Times New Roman" w:cs="Times New Roman"/>
          <w:b/>
          <w:sz w:val="24"/>
          <w:szCs w:val="24"/>
        </w:rPr>
        <w:lastRenderedPageBreak/>
        <w:t>POSEBNI IZVJEŠTAJI U POLUGODIŠNJEM IZVJEŠTAJU O IZVRŠENJU FINANCIJSKOG PLANA</w:t>
      </w:r>
    </w:p>
    <w:p w:rsidR="0054309C" w:rsidRPr="0054309C" w:rsidRDefault="0054309C" w:rsidP="0054309C">
      <w:pPr>
        <w:ind w:left="720"/>
        <w:contextualSpacing/>
        <w:rPr>
          <w:rFonts w:ascii="Times New Roman" w:hAnsi="Times New Roman" w:cs="Times New Roman"/>
          <w:b/>
          <w:sz w:val="24"/>
          <w:szCs w:val="24"/>
        </w:rPr>
      </w:pPr>
    </w:p>
    <w:p w:rsidR="0054309C" w:rsidRPr="0054309C" w:rsidRDefault="0054309C" w:rsidP="0054309C">
      <w:pPr>
        <w:ind w:left="720"/>
        <w:contextualSpacing/>
        <w:rPr>
          <w:rFonts w:ascii="Times New Roman" w:hAnsi="Times New Roman" w:cs="Times New Roman"/>
          <w:b/>
          <w:sz w:val="24"/>
          <w:szCs w:val="24"/>
        </w:rPr>
      </w:pPr>
    </w:p>
    <w:p w:rsidR="0054309C" w:rsidRPr="0054309C" w:rsidRDefault="0054309C" w:rsidP="0054309C">
      <w:pPr>
        <w:numPr>
          <w:ilvl w:val="0"/>
          <w:numId w:val="7"/>
        </w:numPr>
        <w:spacing w:after="0" w:line="240" w:lineRule="auto"/>
        <w:contextualSpacing/>
        <w:rPr>
          <w:rFonts w:ascii="Times New Roman" w:hAnsi="Times New Roman" w:cs="Times New Roman"/>
          <w:b/>
          <w:sz w:val="24"/>
          <w:szCs w:val="24"/>
        </w:rPr>
      </w:pPr>
      <w:r w:rsidRPr="0054309C">
        <w:rPr>
          <w:rFonts w:ascii="Times New Roman" w:hAnsi="Times New Roman" w:cs="Times New Roman"/>
          <w:b/>
          <w:sz w:val="24"/>
          <w:szCs w:val="24"/>
        </w:rPr>
        <w:t>Izvještaj o zaduživanju na domaćem i stranom tržištu novca i kapitala</w:t>
      </w:r>
    </w:p>
    <w:p w:rsidR="0054309C" w:rsidRPr="0054309C" w:rsidRDefault="0054309C" w:rsidP="0054309C">
      <w:pPr>
        <w:rPr>
          <w:rFonts w:ascii="Times New Roman" w:hAnsi="Times New Roman" w:cs="Times New Roman"/>
          <w:sz w:val="24"/>
          <w:szCs w:val="24"/>
        </w:rPr>
      </w:pPr>
      <w:r w:rsidRPr="0054309C">
        <w:rPr>
          <w:rFonts w:ascii="Times New Roman" w:hAnsi="Times New Roman" w:cs="Times New Roman"/>
          <w:sz w:val="24"/>
          <w:szCs w:val="24"/>
        </w:rPr>
        <w:t>Ministarstvo turizma i sporta nema zaduživana po dugoročnim kreditima i zajmovima.</w:t>
      </w:r>
    </w:p>
    <w:p w:rsidR="0054309C" w:rsidRPr="0054309C" w:rsidRDefault="0054309C" w:rsidP="0054309C">
      <w:pPr>
        <w:numPr>
          <w:ilvl w:val="0"/>
          <w:numId w:val="7"/>
        </w:numPr>
        <w:spacing w:after="0" w:line="240" w:lineRule="auto"/>
        <w:contextualSpacing/>
        <w:rPr>
          <w:rFonts w:ascii="Times New Roman" w:hAnsi="Times New Roman" w:cs="Times New Roman"/>
          <w:b/>
          <w:sz w:val="24"/>
          <w:szCs w:val="24"/>
        </w:rPr>
      </w:pPr>
      <w:r w:rsidRPr="0054309C">
        <w:rPr>
          <w:rFonts w:ascii="Times New Roman" w:hAnsi="Times New Roman" w:cs="Times New Roman"/>
          <w:b/>
          <w:sz w:val="24"/>
          <w:szCs w:val="24"/>
        </w:rPr>
        <w:t>Izvještaj o korištenju sredstva fondova Europske unije</w:t>
      </w:r>
    </w:p>
    <w:p w:rsidR="0054309C" w:rsidRPr="0054309C" w:rsidRDefault="0054309C" w:rsidP="0054309C">
      <w:pPr>
        <w:ind w:left="720"/>
        <w:contextualSpacing/>
        <w:rPr>
          <w:rFonts w:ascii="Times New Roman" w:hAnsi="Times New Roman" w:cs="Times New Roman"/>
          <w:b/>
          <w:sz w:val="24"/>
          <w:szCs w:val="24"/>
        </w:rPr>
      </w:pPr>
    </w:p>
    <w:p w:rsidR="0054309C" w:rsidRPr="0054309C" w:rsidRDefault="0054309C" w:rsidP="0054309C">
      <w:pPr>
        <w:rPr>
          <w:rFonts w:ascii="Times New Roman" w:hAnsi="Times New Roman" w:cs="Times New Roman"/>
          <w:b/>
          <w:sz w:val="24"/>
          <w:szCs w:val="24"/>
        </w:rPr>
      </w:pPr>
      <w:r w:rsidRPr="0054309C">
        <w:rPr>
          <w:rFonts w:ascii="Times New Roman" w:hAnsi="Times New Roman" w:cs="Times New Roman"/>
          <w:b/>
          <w:sz w:val="24"/>
          <w:szCs w:val="24"/>
        </w:rPr>
        <w:t>A587056 - OP UČINKOVITI LJUDSKI POTENCIJALI PRIORITET 2,3,5</w:t>
      </w:r>
    </w:p>
    <w:p w:rsidR="0054309C" w:rsidRPr="0054309C" w:rsidRDefault="0054309C" w:rsidP="0054309C">
      <w:pPr>
        <w:jc w:val="both"/>
        <w:rPr>
          <w:rFonts w:ascii="Times New Roman" w:hAnsi="Times New Roman" w:cs="Times New Roman"/>
          <w:b/>
          <w:sz w:val="24"/>
          <w:szCs w:val="24"/>
        </w:rPr>
      </w:pPr>
      <w:proofErr w:type="spellStart"/>
      <w:r w:rsidRPr="0054309C">
        <w:rPr>
          <w:rFonts w:ascii="Times New Roman" w:hAnsi="Times New Roman" w:cs="Times New Roman"/>
          <w:b/>
          <w:sz w:val="24"/>
          <w:szCs w:val="24"/>
        </w:rPr>
        <w:t>Podprojekt</w:t>
      </w:r>
      <w:proofErr w:type="spellEnd"/>
      <w:r w:rsidRPr="0054309C">
        <w:rPr>
          <w:rFonts w:ascii="Times New Roman" w:hAnsi="Times New Roman" w:cs="Times New Roman"/>
          <w:b/>
          <w:sz w:val="24"/>
          <w:szCs w:val="24"/>
        </w:rPr>
        <w:t xml:space="preserve"> - Poboljšanje pristupa ranjivih skupina tržištu rada u sektoru turizma i ugostiteljstva II.</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Ministarstvo turizma i sporta je 19. ožujka 2021. godine objavilo poziv "Poboljšanje pristupa ranjivih skupina tržištu rada u sektoru turizma i ugostiteljstva II." u modalitetu otvorenog poziva, a isti je zatvoren 10. svibnja 2021. godine. U ožujku 2022. godine potpisani su ugovori s 14 Korisnika kojima je dodijeljeno ukupno 3.615.062,47 eura bespovratnih sredstava. Isplate su se vršile korisnicima za ugovorene projekte sukladno zaprimljenim zahtjevima za nadoknadom sredstava od Posredničkog tijela druge razine, odnosno Hrvatskog zavoda za zapošljavanje. U 2024. godini isplaćeni su završni zahtjevi za nadoknadom sredstava dobiveni od Posredničkog tijela druge razine za svih 14 korisnika. Projekt je završen u ovoj godini.</w:t>
      </w:r>
    </w:p>
    <w:p w:rsidR="0054309C" w:rsidRPr="0054309C" w:rsidRDefault="0054309C" w:rsidP="0054309C">
      <w:pPr>
        <w:jc w:val="both"/>
        <w:rPr>
          <w:rFonts w:ascii="Times New Roman" w:hAnsi="Times New Roman" w:cs="Times New Roman"/>
          <w:sz w:val="24"/>
          <w:szCs w:val="24"/>
        </w:rPr>
      </w:pPr>
      <w:r w:rsidRPr="0054309C">
        <w:rPr>
          <w:noProof/>
          <w:lang w:eastAsia="hr-HR"/>
        </w:rPr>
        <w:drawing>
          <wp:inline distT="0" distB="0" distL="0" distR="0" wp14:anchorId="4EA497B9" wp14:editId="1B5D832E">
            <wp:extent cx="5760720" cy="985938"/>
            <wp:effectExtent l="0" t="0" r="0"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985938"/>
                    </a:xfrm>
                    <a:prstGeom prst="rect">
                      <a:avLst/>
                    </a:prstGeom>
                    <a:noFill/>
                    <a:ln>
                      <a:noFill/>
                    </a:ln>
                  </pic:spPr>
                </pic:pic>
              </a:graphicData>
            </a:graphic>
          </wp:inline>
        </w:drawing>
      </w:r>
    </w:p>
    <w:p w:rsidR="0054309C" w:rsidRPr="0054309C" w:rsidRDefault="0054309C" w:rsidP="0054309C">
      <w:pPr>
        <w:jc w:val="both"/>
        <w:rPr>
          <w:rFonts w:ascii="Times New Roman" w:hAnsi="Times New Roman" w:cs="Times New Roman"/>
          <w:b/>
          <w:sz w:val="24"/>
          <w:szCs w:val="24"/>
        </w:rPr>
      </w:pPr>
      <w:proofErr w:type="spellStart"/>
      <w:r w:rsidRPr="0054309C">
        <w:rPr>
          <w:rFonts w:ascii="Times New Roman" w:hAnsi="Times New Roman" w:cs="Times New Roman"/>
          <w:b/>
          <w:sz w:val="24"/>
          <w:szCs w:val="24"/>
        </w:rPr>
        <w:t>Podprojekt</w:t>
      </w:r>
      <w:proofErr w:type="spellEnd"/>
      <w:r w:rsidRPr="0054309C">
        <w:rPr>
          <w:rFonts w:ascii="Times New Roman" w:hAnsi="Times New Roman" w:cs="Times New Roman"/>
          <w:b/>
          <w:sz w:val="24"/>
          <w:szCs w:val="24"/>
        </w:rPr>
        <w:t xml:space="preserve"> - Uspostava regionalnih centara kompetentnosti u sektoru turizma i ugostiteljstva</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Dana 18. siječnja 2018. godine donesene su Izmjene i dopuna Zakona o strukovnom obrazovanju, a 20. srpnja 2018. donesena je Odluka o imenovanju regionalnih centara kompetentnosti u strukovnom obrazovanju. Za ovaj poziv pripremljena je natječajna dokumentacija, a sažetak operacije odobren je od strane Upravljačkog tijela 18. 3. 2019. godine. Poziv „Uspostava regionalnih centara kompetentnosti u sektoru turizma i ugostiteljstva“ objavljen je 31. srpnja 2019. godine slanjem poziva unaprijed određenim prijaviteljima s obzirom na to da je objavljen u modalitetu ograničenog privremenog poziva. Prije zatvaranja natječaja objavljene su dvije izmjene natječajne dokumentacije: 11. listopada i 8. studenoga 2019. godine pa je trajanje Poziva drugom izmjenom natječajne dokumentacije produljeno do 29. studenoga 2019. godine. U okviru Poziva bila je predviđena ukupna financijska alokacija od 39.816.842,52 eura, dok je intenzitet potpore po pojedinom projektu iznosio 100% prihvatljivih troškova. Međutim, u svibnju 2020. godine Ministarstvo rada, mirovinskog sustava, obitelji i socijalne politike odobrilo je dodatna bespovratna sredstva za financiranje aktivnosti u iznosu od 11.713.045,90 eura. </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Sukladno tome, ugovoreno je 6 projekata u lipnju 2020. godine te je po predmetnom Pozivu ukupno dodijeljeno i ugovoreno 51.529.888,42 eura. Za ugovorene projekte korisnicima su izvršene isplate sukladno zaprimljenim zahtjevima za nadoknadom sredstava od Posredničkog </w:t>
      </w:r>
      <w:r w:rsidRPr="0054309C">
        <w:rPr>
          <w:rFonts w:ascii="Times New Roman" w:hAnsi="Times New Roman" w:cs="Times New Roman"/>
          <w:sz w:val="24"/>
          <w:szCs w:val="24"/>
        </w:rPr>
        <w:lastRenderedPageBreak/>
        <w:t>tijela druge razine, odnosno Agencije za strukovno obrazovanje i obrazovanje odraslih. U 2024. godini isplaćeni su završni zahtjevi za nadoknadom sredstava dobiveni od Posredničkog tijela druge razine za svih 6 korisnika. Projekt je završen u ovoj godini.</w:t>
      </w:r>
    </w:p>
    <w:p w:rsidR="0054309C" w:rsidRPr="0054309C" w:rsidRDefault="0054309C" w:rsidP="0054309C">
      <w:pPr>
        <w:jc w:val="both"/>
        <w:rPr>
          <w:rFonts w:ascii="Times New Roman" w:hAnsi="Times New Roman" w:cs="Times New Roman"/>
          <w:sz w:val="24"/>
          <w:szCs w:val="24"/>
        </w:rPr>
      </w:pPr>
      <w:r w:rsidRPr="0054309C">
        <w:rPr>
          <w:noProof/>
          <w:lang w:eastAsia="hr-HR"/>
        </w:rPr>
        <w:drawing>
          <wp:inline distT="0" distB="0" distL="0" distR="0" wp14:anchorId="6D7E2F8F" wp14:editId="1CF37577">
            <wp:extent cx="5760720" cy="630723"/>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630723"/>
                    </a:xfrm>
                    <a:prstGeom prst="rect">
                      <a:avLst/>
                    </a:prstGeom>
                    <a:noFill/>
                    <a:ln>
                      <a:noFill/>
                    </a:ln>
                  </pic:spPr>
                </pic:pic>
              </a:graphicData>
            </a:graphic>
          </wp:inline>
        </w:drawing>
      </w:r>
    </w:p>
    <w:p w:rsidR="0054309C" w:rsidRPr="0054309C" w:rsidRDefault="0054309C" w:rsidP="0054309C">
      <w:pPr>
        <w:rPr>
          <w:rFonts w:ascii="Times New Roman" w:hAnsi="Times New Roman" w:cs="Times New Roman"/>
          <w:b/>
          <w:sz w:val="24"/>
          <w:szCs w:val="24"/>
        </w:rPr>
      </w:pPr>
      <w:proofErr w:type="spellStart"/>
      <w:r w:rsidRPr="0054309C">
        <w:rPr>
          <w:rFonts w:ascii="Times New Roman" w:hAnsi="Times New Roman" w:cs="Times New Roman"/>
          <w:b/>
          <w:sz w:val="24"/>
          <w:szCs w:val="24"/>
        </w:rPr>
        <w:t>Podprojekt</w:t>
      </w:r>
      <w:proofErr w:type="spellEnd"/>
      <w:r w:rsidRPr="0054309C">
        <w:rPr>
          <w:rFonts w:ascii="Times New Roman" w:hAnsi="Times New Roman" w:cs="Times New Roman"/>
          <w:b/>
          <w:sz w:val="24"/>
          <w:szCs w:val="24"/>
        </w:rPr>
        <w:t xml:space="preserve"> - Uspostava digitalizirane javne usluge – </w:t>
      </w:r>
      <w:proofErr w:type="spellStart"/>
      <w:r w:rsidRPr="0054309C">
        <w:rPr>
          <w:rFonts w:ascii="Times New Roman" w:hAnsi="Times New Roman" w:cs="Times New Roman"/>
          <w:b/>
          <w:sz w:val="24"/>
          <w:szCs w:val="24"/>
        </w:rPr>
        <w:t>eTurizam</w:t>
      </w:r>
      <w:proofErr w:type="spellEnd"/>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Projekt Hrvatski digitalni turizam - </w:t>
      </w:r>
      <w:proofErr w:type="spellStart"/>
      <w:r w:rsidRPr="0054309C">
        <w:rPr>
          <w:rFonts w:ascii="Times New Roman" w:hAnsi="Times New Roman" w:cs="Times New Roman"/>
          <w:sz w:val="24"/>
          <w:szCs w:val="24"/>
        </w:rPr>
        <w:t>eTurizam</w:t>
      </w:r>
      <w:proofErr w:type="spellEnd"/>
      <w:r w:rsidRPr="0054309C">
        <w:rPr>
          <w:rFonts w:ascii="Times New Roman" w:hAnsi="Times New Roman" w:cs="Times New Roman"/>
          <w:sz w:val="24"/>
          <w:szCs w:val="24"/>
        </w:rPr>
        <w:t xml:space="preserve"> predstavlja jedinstveni projekt Ministarstva turizma i sporta koji prvi puta u Republici Hrvatskoj objedinjuje sve usluge u turizmu na jednom mjestu, u formi jedinstvenog suvremenog integriranog informacijskog sustava. Projekt je uspješno prijavljen na natječaj iz Operativnog programa Učinkoviti ljudski potencijali (UP.04.1.1.12.0001) te je u svibnju 2019. godine potpisan Ugovor o dodjeli bespovratnih sredstava ukupne vrijednosti 1.906.220,28 eura.</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Projektom su realizirane aktivnosti uspostave tri nove javne e-usluge te izrade edukativnog materijala i edukacije službenika i korisnika o novim e-uslugama u turizmu kao i nabave informatičke opreme. Također su provedene aktivnosti podizanja svijesti javnosti o novim e-uslugama i poboljšanja komunikacije između građana i javne uprave u turizmu i povećanja učinkovitosti i transparentnosti javne uprave u pružanju javnih usluga u turizmu.</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Nositelj projekta je Ministarstvo turizma i sporta, dok je partner na projektu Hrvatska turistička zajednica. Provedba projekta uspješno je završila kako je planirano 31. prosinca 2023. te je u travnju 2024. godine odobreno Završno izvješće o provedbi projekta u kojem je potvrđeno ostvarivanje planiranih pokazatelja. Projektne aktivnosti provodile su do samog kraja 2023. godine do kada su kod nositelja i projektnog partnera sukladno projektnom planu provedbe nastale i podmirene sve financijske obaveze prema dobavljačima i pružateljima usluga. Sukladno odredbama Ugovora o dodjeli bespovratnih sredstava, prijenos financijskih sredstava projektnom partneru realiziran je nakon odobrenja zahtjeva za nadoknadom sredstava. Utrošena sredstva u 2024. godini odnose se na troškove projektnog partnera koji su potraživani kroz završni zahtjev za nadoknadom sredstava koji je odobren u izvještajnom razdoblju.</w:t>
      </w:r>
    </w:p>
    <w:p w:rsidR="0054309C" w:rsidRPr="0054309C" w:rsidRDefault="0054309C" w:rsidP="0054309C">
      <w:pPr>
        <w:spacing w:after="0" w:line="240" w:lineRule="auto"/>
        <w:jc w:val="both"/>
        <w:rPr>
          <w:rFonts w:ascii="Times New Roman" w:hAnsi="Times New Roman" w:cs="Times New Roman"/>
          <w:sz w:val="24"/>
          <w:szCs w:val="24"/>
        </w:rPr>
      </w:pPr>
    </w:p>
    <w:tbl>
      <w:tblPr>
        <w:tblW w:w="8926" w:type="dxa"/>
        <w:tblLook w:val="04A0" w:firstRow="1" w:lastRow="0" w:firstColumn="1" w:lastColumn="0" w:noHBand="0" w:noVBand="1"/>
      </w:tblPr>
      <w:tblGrid>
        <w:gridCol w:w="3397"/>
        <w:gridCol w:w="1523"/>
        <w:gridCol w:w="1596"/>
        <w:gridCol w:w="1276"/>
        <w:gridCol w:w="1134"/>
      </w:tblGrid>
      <w:tr w:rsidR="0054309C" w:rsidRPr="0054309C" w:rsidTr="00D826F3">
        <w:trPr>
          <w:trHeight w:val="300"/>
        </w:trPr>
        <w:tc>
          <w:tcPr>
            <w:tcW w:w="3397" w:type="dxa"/>
            <w:vMerge w:val="restart"/>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POZIV</w:t>
            </w:r>
          </w:p>
        </w:tc>
        <w:tc>
          <w:tcPr>
            <w:tcW w:w="1523" w:type="dxa"/>
            <w:vMerge w:val="restart"/>
            <w:tcBorders>
              <w:top w:val="single" w:sz="4" w:space="0" w:color="auto"/>
              <w:left w:val="single" w:sz="4" w:space="0" w:color="auto"/>
              <w:bottom w:val="single" w:sz="4" w:space="0" w:color="auto"/>
              <w:right w:val="single" w:sz="4" w:space="0" w:color="auto"/>
            </w:tcBorders>
            <w:shd w:val="clear" w:color="000000" w:fill="E2EFDA"/>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 xml:space="preserve">UGOVORENA </w:t>
            </w:r>
            <w:r w:rsidRPr="0054309C">
              <w:rPr>
                <w:rFonts w:ascii="Calibri" w:eastAsia="Times New Roman" w:hAnsi="Calibri" w:cs="Calibri"/>
                <w:b/>
                <w:bCs/>
                <w:color w:val="000000"/>
                <w:sz w:val="20"/>
                <w:szCs w:val="20"/>
                <w:lang w:eastAsia="hr-HR"/>
              </w:rPr>
              <w:br/>
              <w:t>SREDSTVA</w:t>
            </w:r>
          </w:p>
        </w:tc>
        <w:tc>
          <w:tcPr>
            <w:tcW w:w="4006" w:type="dxa"/>
            <w:gridSpan w:val="3"/>
            <w:tcBorders>
              <w:top w:val="single" w:sz="4" w:space="0" w:color="auto"/>
              <w:left w:val="nil"/>
              <w:bottom w:val="single" w:sz="4" w:space="0" w:color="auto"/>
              <w:right w:val="single" w:sz="4" w:space="0" w:color="000000"/>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ISPLAĆENA SREDSTVA</w:t>
            </w:r>
          </w:p>
        </w:tc>
      </w:tr>
      <w:tr w:rsidR="0054309C" w:rsidRPr="0054309C" w:rsidTr="00D826F3">
        <w:trPr>
          <w:trHeight w:val="300"/>
        </w:trPr>
        <w:tc>
          <w:tcPr>
            <w:tcW w:w="3397" w:type="dxa"/>
            <w:vMerge/>
            <w:tcBorders>
              <w:top w:val="single" w:sz="4" w:space="0" w:color="auto"/>
              <w:left w:val="single" w:sz="4" w:space="0" w:color="auto"/>
              <w:bottom w:val="single" w:sz="4" w:space="0" w:color="auto"/>
              <w:right w:val="single" w:sz="4" w:space="0" w:color="auto"/>
            </w:tcBorders>
            <w:vAlign w:val="center"/>
            <w:hideMark/>
          </w:tcPr>
          <w:p w:rsidR="0054309C" w:rsidRPr="0054309C" w:rsidRDefault="0054309C" w:rsidP="0054309C">
            <w:pPr>
              <w:spacing w:after="0" w:line="240" w:lineRule="auto"/>
              <w:rPr>
                <w:rFonts w:ascii="Calibri" w:eastAsia="Times New Roman" w:hAnsi="Calibri" w:cs="Calibri"/>
                <w:b/>
                <w:bCs/>
                <w:color w:val="000000"/>
                <w:sz w:val="20"/>
                <w:szCs w:val="20"/>
                <w:lang w:eastAsia="hr-HR"/>
              </w:rPr>
            </w:pPr>
          </w:p>
        </w:tc>
        <w:tc>
          <w:tcPr>
            <w:tcW w:w="1523" w:type="dxa"/>
            <w:vMerge/>
            <w:tcBorders>
              <w:top w:val="single" w:sz="4" w:space="0" w:color="auto"/>
              <w:left w:val="single" w:sz="4" w:space="0" w:color="auto"/>
              <w:bottom w:val="single" w:sz="4" w:space="0" w:color="auto"/>
              <w:right w:val="single" w:sz="4" w:space="0" w:color="auto"/>
            </w:tcBorders>
            <w:vAlign w:val="center"/>
            <w:hideMark/>
          </w:tcPr>
          <w:p w:rsidR="0054309C" w:rsidRPr="0054309C" w:rsidRDefault="0054309C" w:rsidP="0054309C">
            <w:pPr>
              <w:spacing w:after="0" w:line="240" w:lineRule="auto"/>
              <w:rPr>
                <w:rFonts w:ascii="Calibri" w:eastAsia="Times New Roman" w:hAnsi="Calibri" w:cs="Calibri"/>
                <w:b/>
                <w:bCs/>
                <w:color w:val="000000"/>
                <w:sz w:val="20"/>
                <w:szCs w:val="20"/>
                <w:lang w:eastAsia="hr-HR"/>
              </w:rPr>
            </w:pPr>
          </w:p>
        </w:tc>
        <w:tc>
          <w:tcPr>
            <w:tcW w:w="1596" w:type="dxa"/>
            <w:tcBorders>
              <w:top w:val="nil"/>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SVEUKUPNO</w:t>
            </w:r>
          </w:p>
        </w:tc>
        <w:tc>
          <w:tcPr>
            <w:tcW w:w="1276" w:type="dxa"/>
            <w:tcBorders>
              <w:top w:val="nil"/>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IZVOR 561</w:t>
            </w:r>
          </w:p>
        </w:tc>
        <w:tc>
          <w:tcPr>
            <w:tcW w:w="1134" w:type="dxa"/>
            <w:tcBorders>
              <w:top w:val="nil"/>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IZVOR 12</w:t>
            </w:r>
          </w:p>
        </w:tc>
      </w:tr>
      <w:tr w:rsidR="0054309C" w:rsidRPr="0054309C" w:rsidTr="00D826F3">
        <w:trPr>
          <w:trHeight w:val="600"/>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 xml:space="preserve">Uspostava digitalizirane javne usluge – </w:t>
            </w:r>
            <w:proofErr w:type="spellStart"/>
            <w:r w:rsidRPr="0054309C">
              <w:rPr>
                <w:rFonts w:ascii="Calibri" w:eastAsia="Times New Roman" w:hAnsi="Calibri" w:cs="Calibri"/>
                <w:color w:val="000000"/>
                <w:sz w:val="20"/>
                <w:szCs w:val="20"/>
                <w:lang w:eastAsia="hr-HR"/>
              </w:rPr>
              <w:t>eTurizam</w:t>
            </w:r>
            <w:proofErr w:type="spellEnd"/>
          </w:p>
        </w:tc>
        <w:tc>
          <w:tcPr>
            <w:tcW w:w="1523"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1.906.220,28</w:t>
            </w:r>
          </w:p>
        </w:tc>
        <w:tc>
          <w:tcPr>
            <w:tcW w:w="1596"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138.875,27</w:t>
            </w:r>
          </w:p>
        </w:tc>
        <w:tc>
          <w:tcPr>
            <w:tcW w:w="1276"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118.043,98</w:t>
            </w:r>
          </w:p>
        </w:tc>
        <w:tc>
          <w:tcPr>
            <w:tcW w:w="1134"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20.831,29</w:t>
            </w:r>
          </w:p>
        </w:tc>
      </w:tr>
    </w:tbl>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rPr>
          <w:rFonts w:ascii="Times New Roman" w:hAnsi="Times New Roman" w:cs="Times New Roman"/>
          <w:b/>
          <w:sz w:val="24"/>
          <w:szCs w:val="24"/>
        </w:rPr>
      </w:pPr>
      <w:r w:rsidRPr="0054309C">
        <w:rPr>
          <w:rFonts w:ascii="Times New Roman" w:hAnsi="Times New Roman" w:cs="Times New Roman"/>
          <w:b/>
          <w:sz w:val="24"/>
          <w:szCs w:val="24"/>
        </w:rPr>
        <w:t>A587057 OP KONKURENTNOST I KOHEZIJA PRIORITETI 2,3</w:t>
      </w:r>
    </w:p>
    <w:p w:rsidR="0054309C" w:rsidRPr="0054309C" w:rsidRDefault="0054309C" w:rsidP="0054309C">
      <w:pPr>
        <w:jc w:val="both"/>
        <w:rPr>
          <w:rFonts w:ascii="Times New Roman" w:hAnsi="Times New Roman" w:cs="Times New Roman"/>
          <w:b/>
          <w:sz w:val="24"/>
          <w:szCs w:val="24"/>
        </w:rPr>
      </w:pPr>
      <w:proofErr w:type="spellStart"/>
      <w:r w:rsidRPr="0054309C">
        <w:rPr>
          <w:rFonts w:ascii="Times New Roman" w:hAnsi="Times New Roman" w:cs="Times New Roman"/>
          <w:b/>
          <w:sz w:val="24"/>
          <w:szCs w:val="24"/>
        </w:rPr>
        <w:t>Podprojekt</w:t>
      </w:r>
      <w:proofErr w:type="spellEnd"/>
      <w:r w:rsidRPr="0054309C">
        <w:rPr>
          <w:rFonts w:ascii="Times New Roman" w:hAnsi="Times New Roman" w:cs="Times New Roman"/>
          <w:b/>
          <w:sz w:val="24"/>
          <w:szCs w:val="24"/>
        </w:rPr>
        <w:t xml:space="preserve"> - Uspostava digitalizirane javne usluge – </w:t>
      </w:r>
      <w:proofErr w:type="spellStart"/>
      <w:r w:rsidRPr="0054309C">
        <w:rPr>
          <w:rFonts w:ascii="Times New Roman" w:hAnsi="Times New Roman" w:cs="Times New Roman"/>
          <w:b/>
          <w:sz w:val="24"/>
          <w:szCs w:val="24"/>
        </w:rPr>
        <w:t>eTurizam</w:t>
      </w:r>
      <w:proofErr w:type="spellEnd"/>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Projekt Hrvatski digitalni turizam - </w:t>
      </w:r>
      <w:proofErr w:type="spellStart"/>
      <w:r w:rsidRPr="0054309C">
        <w:rPr>
          <w:rFonts w:ascii="Times New Roman" w:hAnsi="Times New Roman" w:cs="Times New Roman"/>
          <w:sz w:val="24"/>
          <w:szCs w:val="24"/>
        </w:rPr>
        <w:t>eTurizam</w:t>
      </w:r>
      <w:proofErr w:type="spellEnd"/>
      <w:r w:rsidRPr="0054309C">
        <w:rPr>
          <w:rFonts w:ascii="Times New Roman" w:hAnsi="Times New Roman" w:cs="Times New Roman"/>
          <w:sz w:val="24"/>
          <w:szCs w:val="24"/>
        </w:rPr>
        <w:t xml:space="preserve"> uspješno je prijavljen na natječaj iz Operativnog programa Konkurentnost i kohezija Razvoj e-usluga (KK.02.2.1.01.) te je u prosincu 2017. godine potpisan Ugovor o dodjeli bespovratnih sredstava ukupne vrijednosti 5.276,218,42 eura.</w:t>
      </w: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Projektom su realizirane aktivnosti uspostave pet javnih e-usluga te nabave informatičke opreme za potrebe rada službenika. Također su provedene aktivnosti podizanja svijesti javnosti o novim e-uslugama i poboljšanja komunikacije između građana i javne uprave u turizmu i povećanja učinkovitosti i transparentnosti javne uprave u pružanju javnih usluga u turizmu.</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lastRenderedPageBreak/>
        <w:t xml:space="preserve">Nositelj projekta je Ministarstvo turizma i sporta, dok su projektni partneri Hrvatska turistička zajednica, Turistička zajednica Splitsko-dalmatinske županije te Splitsko-dalmatinska županija. Provedba projekta uspješno je završila kako je planirano 01. veljače 2023. godine te je iste godine odobreno i Završno izvješće o provedbi projekta. Projektne aktivnosti provodile su se do samog kraja projekta do kada su kod nositelja i projektnog partnera sukladno projektnom planu provedbe nastale i podmirene sve financijske obaveze prema dobavljačima i pružateljima usluga. </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Sukladno odredbama Ugovora o dodjeli bespovratnih sredstava, prijenos financijskih sredstava projektnom partneru realiziran je nakon odobrenja troškova potraživanih zahtjevima za nadoknadom sredstava. Iznos sredstava utrošen tijekom 2024. godine odnosi se na troškove projektnog partnera koji su ranije inicijalno bili izuzeti kao neprihvatljivi, a nakon provedenog žalbenog postupka i usvojenog prigovora u cijelosti odobreni.</w:t>
      </w:r>
    </w:p>
    <w:p w:rsidR="0054309C" w:rsidRPr="0054309C" w:rsidRDefault="0054309C" w:rsidP="0054309C">
      <w:pPr>
        <w:rPr>
          <w:rFonts w:ascii="Times New Roman" w:hAnsi="Times New Roman" w:cs="Times New Roman"/>
          <w:b/>
          <w:sz w:val="24"/>
          <w:szCs w:val="24"/>
        </w:rPr>
      </w:pPr>
    </w:p>
    <w:tbl>
      <w:tblPr>
        <w:tblW w:w="8784" w:type="dxa"/>
        <w:tblLook w:val="04A0" w:firstRow="1" w:lastRow="0" w:firstColumn="1" w:lastColumn="0" w:noHBand="0" w:noVBand="1"/>
      </w:tblPr>
      <w:tblGrid>
        <w:gridCol w:w="3340"/>
        <w:gridCol w:w="1480"/>
        <w:gridCol w:w="1364"/>
        <w:gridCol w:w="1128"/>
        <w:gridCol w:w="1472"/>
      </w:tblGrid>
      <w:tr w:rsidR="0054309C" w:rsidRPr="0054309C" w:rsidTr="00D826F3">
        <w:trPr>
          <w:trHeight w:val="480"/>
        </w:trPr>
        <w:tc>
          <w:tcPr>
            <w:tcW w:w="3340" w:type="dxa"/>
            <w:vMerge w:val="restart"/>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POZIV</w:t>
            </w:r>
          </w:p>
        </w:tc>
        <w:tc>
          <w:tcPr>
            <w:tcW w:w="1480" w:type="dxa"/>
            <w:vMerge w:val="restart"/>
            <w:tcBorders>
              <w:top w:val="single" w:sz="4" w:space="0" w:color="auto"/>
              <w:left w:val="single" w:sz="4" w:space="0" w:color="auto"/>
              <w:bottom w:val="single" w:sz="4" w:space="0" w:color="auto"/>
              <w:right w:val="single" w:sz="4" w:space="0" w:color="auto"/>
            </w:tcBorders>
            <w:shd w:val="clear" w:color="000000" w:fill="E2EFDA"/>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 xml:space="preserve">UGOVORENA </w:t>
            </w:r>
            <w:r w:rsidRPr="0054309C">
              <w:rPr>
                <w:rFonts w:ascii="Calibri" w:eastAsia="Times New Roman" w:hAnsi="Calibri" w:cs="Calibri"/>
                <w:b/>
                <w:bCs/>
                <w:color w:val="000000"/>
                <w:sz w:val="20"/>
                <w:szCs w:val="20"/>
                <w:lang w:eastAsia="hr-HR"/>
              </w:rPr>
              <w:br/>
              <w:t>SREDSTVA</w:t>
            </w:r>
          </w:p>
        </w:tc>
        <w:tc>
          <w:tcPr>
            <w:tcW w:w="3964" w:type="dxa"/>
            <w:gridSpan w:val="3"/>
            <w:tcBorders>
              <w:top w:val="single" w:sz="4" w:space="0" w:color="auto"/>
              <w:left w:val="nil"/>
              <w:bottom w:val="single" w:sz="4" w:space="0" w:color="auto"/>
              <w:right w:val="single" w:sz="4" w:space="0" w:color="000000"/>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ISPLAĆENA SREDSTVA</w:t>
            </w:r>
          </w:p>
        </w:tc>
      </w:tr>
      <w:tr w:rsidR="0054309C" w:rsidRPr="0054309C" w:rsidTr="00D826F3">
        <w:trPr>
          <w:trHeight w:val="360"/>
        </w:trPr>
        <w:tc>
          <w:tcPr>
            <w:tcW w:w="3340" w:type="dxa"/>
            <w:vMerge/>
            <w:tcBorders>
              <w:top w:val="single" w:sz="4" w:space="0" w:color="auto"/>
              <w:left w:val="single" w:sz="4" w:space="0" w:color="auto"/>
              <w:bottom w:val="single" w:sz="4" w:space="0" w:color="auto"/>
              <w:right w:val="single" w:sz="4" w:space="0" w:color="auto"/>
            </w:tcBorders>
            <w:vAlign w:val="center"/>
            <w:hideMark/>
          </w:tcPr>
          <w:p w:rsidR="0054309C" w:rsidRPr="0054309C" w:rsidRDefault="0054309C" w:rsidP="0054309C">
            <w:pPr>
              <w:spacing w:after="0" w:line="240" w:lineRule="auto"/>
              <w:rPr>
                <w:rFonts w:ascii="Calibri" w:eastAsia="Times New Roman" w:hAnsi="Calibri" w:cs="Calibri"/>
                <w:b/>
                <w:bCs/>
                <w:color w:val="000000"/>
                <w:sz w:val="20"/>
                <w:szCs w:val="20"/>
                <w:lang w:eastAsia="hr-HR"/>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54309C" w:rsidRPr="0054309C" w:rsidRDefault="0054309C" w:rsidP="0054309C">
            <w:pPr>
              <w:spacing w:after="0" w:line="240" w:lineRule="auto"/>
              <w:rPr>
                <w:rFonts w:ascii="Calibri" w:eastAsia="Times New Roman" w:hAnsi="Calibri" w:cs="Calibri"/>
                <w:b/>
                <w:bCs/>
                <w:color w:val="000000"/>
                <w:sz w:val="20"/>
                <w:szCs w:val="20"/>
                <w:lang w:eastAsia="hr-HR"/>
              </w:rPr>
            </w:pPr>
          </w:p>
        </w:tc>
        <w:tc>
          <w:tcPr>
            <w:tcW w:w="1364" w:type="dxa"/>
            <w:tcBorders>
              <w:top w:val="nil"/>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SVEUKUPNO</w:t>
            </w:r>
          </w:p>
        </w:tc>
        <w:tc>
          <w:tcPr>
            <w:tcW w:w="1128" w:type="dxa"/>
            <w:tcBorders>
              <w:top w:val="nil"/>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IZVOR 563</w:t>
            </w:r>
          </w:p>
        </w:tc>
        <w:tc>
          <w:tcPr>
            <w:tcW w:w="1472" w:type="dxa"/>
            <w:tcBorders>
              <w:top w:val="nil"/>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IZVOR 12</w:t>
            </w:r>
          </w:p>
        </w:tc>
      </w:tr>
      <w:tr w:rsidR="0054309C" w:rsidRPr="0054309C" w:rsidTr="00D826F3">
        <w:trPr>
          <w:trHeight w:val="600"/>
        </w:trPr>
        <w:tc>
          <w:tcPr>
            <w:tcW w:w="3340" w:type="dxa"/>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 xml:space="preserve">Uspostava digitalizirane javne usluge – </w:t>
            </w:r>
            <w:proofErr w:type="spellStart"/>
            <w:r w:rsidRPr="0054309C">
              <w:rPr>
                <w:rFonts w:ascii="Calibri" w:eastAsia="Times New Roman" w:hAnsi="Calibri" w:cs="Calibri"/>
                <w:color w:val="000000"/>
                <w:sz w:val="20"/>
                <w:szCs w:val="20"/>
                <w:lang w:eastAsia="hr-HR"/>
              </w:rPr>
              <w:t>eTurizam</w:t>
            </w:r>
            <w:proofErr w:type="spellEnd"/>
          </w:p>
        </w:tc>
        <w:tc>
          <w:tcPr>
            <w:tcW w:w="1480"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 xml:space="preserve">5.276,218,42 </w:t>
            </w:r>
          </w:p>
        </w:tc>
        <w:tc>
          <w:tcPr>
            <w:tcW w:w="1364"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362.084,41</w:t>
            </w:r>
          </w:p>
        </w:tc>
        <w:tc>
          <w:tcPr>
            <w:tcW w:w="1128"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307.771,75</w:t>
            </w:r>
          </w:p>
        </w:tc>
        <w:tc>
          <w:tcPr>
            <w:tcW w:w="1472"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54.312,66</w:t>
            </w:r>
          </w:p>
        </w:tc>
      </w:tr>
    </w:tbl>
    <w:p w:rsidR="0054309C" w:rsidRPr="0054309C" w:rsidRDefault="0054309C" w:rsidP="0054309C">
      <w:pPr>
        <w:rPr>
          <w:rFonts w:ascii="Times New Roman" w:hAnsi="Times New Roman" w:cs="Times New Roman"/>
          <w:b/>
          <w:sz w:val="24"/>
          <w:szCs w:val="24"/>
        </w:rPr>
      </w:pPr>
    </w:p>
    <w:p w:rsidR="0054309C" w:rsidRPr="0054309C" w:rsidRDefault="0054309C" w:rsidP="0054309C">
      <w:r w:rsidRPr="0054309C">
        <w:rPr>
          <w:rFonts w:ascii="Times New Roman" w:hAnsi="Times New Roman" w:cs="Times New Roman"/>
          <w:b/>
          <w:sz w:val="24"/>
          <w:szCs w:val="24"/>
        </w:rPr>
        <w:t>A916035 - RAZVOJ ODRŽIVOG, INOVATIVNOG I OTPORNOG TURIZMA-NPOO</w:t>
      </w:r>
    </w:p>
    <w:p w:rsidR="0054309C" w:rsidRPr="0054309C" w:rsidRDefault="0054309C" w:rsidP="0054309C">
      <w:pPr>
        <w:jc w:val="both"/>
        <w:rPr>
          <w:rFonts w:ascii="Times New Roman" w:hAnsi="Times New Roman" w:cs="Times New Roman"/>
          <w:b/>
          <w:sz w:val="24"/>
          <w:szCs w:val="24"/>
        </w:rPr>
      </w:pPr>
      <w:proofErr w:type="spellStart"/>
      <w:r w:rsidRPr="0054309C">
        <w:rPr>
          <w:rFonts w:ascii="Times New Roman" w:hAnsi="Times New Roman" w:cs="Times New Roman"/>
          <w:b/>
          <w:sz w:val="24"/>
          <w:szCs w:val="24"/>
        </w:rPr>
        <w:t>Podprojekt</w:t>
      </w:r>
      <w:proofErr w:type="spellEnd"/>
      <w:r w:rsidRPr="0054309C">
        <w:rPr>
          <w:rFonts w:ascii="Times New Roman" w:hAnsi="Times New Roman" w:cs="Times New Roman"/>
          <w:b/>
          <w:sz w:val="24"/>
          <w:szCs w:val="24"/>
        </w:rPr>
        <w:t xml:space="preserve"> - Satelitski račun održivog turizma</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Isplaćena sredstva u 2024. godini, u ukupnom iznosu 168.207,09 eura, odnose se na javne nabave usluga istraživanja radi prikupljanja podataka za potrebe izrade Satelitskog računa održivog turizma Republike Hrvatske. Primarna istraživanja odnose se na istraživanje nekomercijalnih turističkih usluga, jednodnevnih posjetitelja, stavova lokalnog stanovništva, putnika na autobusnom kolodvoru Zagreb i istraživanje prihoda i dodane vrijednosti, s okolišnim utjecajem, kojeg generiraju putnici u javnom cestovnom linijskom prometu – prikupljanje podataka o autobusnim kolodvorima na što je ukupno utrošeno 29.873,75 eura; za istraživanja pružatelja usluga smještaja te pripreme i usluživanja hrane utrošeno je ukupno 96.250,00 eura. Također su u ovom izvještajnom razdoblju plaćene usluge istraživanja cestovnog linijskog putničkog prijevoza, zatim istraživanja putničkih agencija i pružatelja usluga smještaja te pripreme i usluživanja hrane te istraživanje okolišnih utjecaja nautičkog turizma s naglaskom na čarter segment </w:t>
      </w:r>
      <w:proofErr w:type="spellStart"/>
      <w:r w:rsidRPr="0054309C">
        <w:rPr>
          <w:rFonts w:ascii="Times New Roman" w:hAnsi="Times New Roman" w:cs="Times New Roman"/>
          <w:sz w:val="24"/>
          <w:szCs w:val="24"/>
        </w:rPr>
        <w:t>jahtinga</w:t>
      </w:r>
      <w:proofErr w:type="spellEnd"/>
      <w:r w:rsidRPr="0054309C">
        <w:rPr>
          <w:rFonts w:ascii="Times New Roman" w:hAnsi="Times New Roman" w:cs="Times New Roman"/>
          <w:sz w:val="24"/>
          <w:szCs w:val="24"/>
        </w:rPr>
        <w:t xml:space="preserve"> i domaći </w:t>
      </w:r>
      <w:proofErr w:type="spellStart"/>
      <w:r w:rsidRPr="0054309C">
        <w:rPr>
          <w:rFonts w:ascii="Times New Roman" w:hAnsi="Times New Roman" w:cs="Times New Roman"/>
          <w:sz w:val="24"/>
          <w:szCs w:val="24"/>
        </w:rPr>
        <w:t>kruzing</w:t>
      </w:r>
      <w:proofErr w:type="spellEnd"/>
      <w:r w:rsidRPr="0054309C">
        <w:rPr>
          <w:rFonts w:ascii="Times New Roman" w:hAnsi="Times New Roman" w:cs="Times New Roman"/>
          <w:sz w:val="24"/>
          <w:szCs w:val="24"/>
        </w:rPr>
        <w:t xml:space="preserve"> u ukupnom iznosu 42.083,34 eura.</w:t>
      </w:r>
    </w:p>
    <w:p w:rsidR="0054309C" w:rsidRPr="0054309C" w:rsidRDefault="0054309C" w:rsidP="0054309C">
      <w:pPr>
        <w:jc w:val="both"/>
        <w:rPr>
          <w:rFonts w:ascii="Times New Roman" w:hAnsi="Times New Roman" w:cs="Times New Roman"/>
          <w:b/>
          <w:sz w:val="24"/>
          <w:szCs w:val="24"/>
        </w:rPr>
      </w:pPr>
      <w:proofErr w:type="spellStart"/>
      <w:r w:rsidRPr="0054309C">
        <w:rPr>
          <w:rFonts w:ascii="Times New Roman" w:hAnsi="Times New Roman" w:cs="Times New Roman"/>
          <w:b/>
          <w:sz w:val="24"/>
          <w:szCs w:val="24"/>
        </w:rPr>
        <w:t>Podprojekt</w:t>
      </w:r>
      <w:proofErr w:type="spellEnd"/>
      <w:r w:rsidRPr="0054309C">
        <w:rPr>
          <w:rFonts w:ascii="Times New Roman" w:hAnsi="Times New Roman" w:cs="Times New Roman"/>
          <w:b/>
          <w:sz w:val="24"/>
          <w:szCs w:val="24"/>
        </w:rPr>
        <w:t xml:space="preserve"> - Regionalna </w:t>
      </w:r>
      <w:proofErr w:type="spellStart"/>
      <w:r w:rsidRPr="0054309C">
        <w:rPr>
          <w:rFonts w:ascii="Times New Roman" w:hAnsi="Times New Roman" w:cs="Times New Roman"/>
          <w:b/>
          <w:sz w:val="24"/>
          <w:szCs w:val="24"/>
        </w:rPr>
        <w:t>diverzifikacija</w:t>
      </w:r>
      <w:proofErr w:type="spellEnd"/>
      <w:r w:rsidRPr="0054309C">
        <w:rPr>
          <w:rFonts w:ascii="Times New Roman" w:hAnsi="Times New Roman" w:cs="Times New Roman"/>
          <w:b/>
          <w:sz w:val="24"/>
          <w:szCs w:val="24"/>
        </w:rPr>
        <w:t xml:space="preserve"> i specijalizacija hrvatskog turizma</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Predmet Poziva u okviru Investicije I.1. „Regionalna diversifikacija i specijalizacija hrvatskog turizma kroz ulaganja u razvoj turističkih proizvoda visoke dodane vrijednosti“ (referentni broj: NPOO.C1.6.R1-I1.01), namijenjene javnom sektoru, je razvoj te zelena i digitalna tranzicija javne turističke infrastrukture u turistički slabije razvijenim područjima, koja će doprinijeti povećanju atraktivnosti destinacija za koje već postoji potražnja turista s potencijalom za razvoj posebnih oblika turizma, koji mogu generirati višu dodanu vrijednost. Ulaganja su usmjerena na prilagodbu, odnosno zelenu i digitalnu tranziciju postojeće javne turističke infrastrukture u područjima s najvišim indeksom turističke razvijenosti, s ciljem povećanja njezine kvalitete, </w:t>
      </w:r>
      <w:r w:rsidRPr="0054309C">
        <w:rPr>
          <w:rFonts w:ascii="Times New Roman" w:hAnsi="Times New Roman" w:cs="Times New Roman"/>
          <w:sz w:val="24"/>
          <w:szCs w:val="24"/>
        </w:rPr>
        <w:lastRenderedPageBreak/>
        <w:t xml:space="preserve">smanjenja utjecaja na okoliš te održivog upravljanja destinacijom i smanjenja prekomjernog turizma. Također, dodatno su se poticala ulaganja u slabije razvijena turistička područja izvan glavnih turističkih i obalnih područja. </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U okviru poziva „Regionalna diversifikacija i specijalizacija hrvatskog turizma kroz ulaganja u razvoj turističkih proizvoda visoke dodane vrijednosti„ proveden je postupak vrednovanja pristiglih projektnih prijedloga te su sklopljeni Ugovori o dodjeli bespovratnih sredstava u ožujku i travnju 2024. godine sa sveukupno 25 korisnika. Ukupna alokacija za navedenu investiciju iznosi 123.432.211,82 eura, te je u izvještajnom razdoblju s navedene aktivnosti isplaćeno ukupno 2.077.955,35 eura za 16 korisnika.</w:t>
      </w:r>
    </w:p>
    <w:p w:rsidR="0054309C" w:rsidRPr="0054309C" w:rsidRDefault="0054309C" w:rsidP="0054309C">
      <w:pPr>
        <w:jc w:val="both"/>
        <w:rPr>
          <w:rFonts w:ascii="Times New Roman" w:hAnsi="Times New Roman" w:cs="Times New Roman"/>
          <w:b/>
          <w:sz w:val="24"/>
          <w:szCs w:val="24"/>
        </w:rPr>
      </w:pPr>
      <w:proofErr w:type="spellStart"/>
      <w:r w:rsidRPr="0054309C">
        <w:rPr>
          <w:rFonts w:ascii="Times New Roman" w:hAnsi="Times New Roman" w:cs="Times New Roman"/>
          <w:b/>
          <w:sz w:val="24"/>
          <w:szCs w:val="24"/>
        </w:rPr>
        <w:t>Podprojekt</w:t>
      </w:r>
      <w:proofErr w:type="spellEnd"/>
      <w:r w:rsidRPr="0054309C">
        <w:rPr>
          <w:rFonts w:ascii="Times New Roman" w:hAnsi="Times New Roman" w:cs="Times New Roman"/>
          <w:b/>
          <w:sz w:val="24"/>
          <w:szCs w:val="24"/>
        </w:rPr>
        <w:t xml:space="preserve"> - Jačanje održivosti te poticanje zelene i digitalne tranzicije poduzetnika</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Predmet Poziva u okviru Investicije I.2. „Jačanje održivosti te poticanje zelene i digitalne tranzicije poduzetnika u sektoru turizma“ (referentni broj: NPOO.C1.6.R1-I2.01), namijenjene privatnom sektoru, je poticanje ulaganja više dodane vrijednosti poduzetnika koja će doprinijeti razvoju održivog turizma uz pomoć zelene i digitalne tranzicije te poticanje oporavka i otpornosti poduzetnika u cijelom lancu vrijednosti turizma, a sa svrhom razvoja turističkih proizvoda prihvatljivih za okoliš i učinkovitost resursa posebice onih u turistički slabije razvijenim područjima putem povezivanja poduzetnika u lancu vrijednosti turizma, povećanje otpornosti i produktivnosti poduzeća, kao i bolje pozicioniranje na turističkom tržištu kroz uvođenje inovacija i digitalnih tehnologija, uključujući i transformaciju privatnih iznajmljivača u poduzetnike. </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Po provedenom postupku vrednovanja, u okviru poziva „Jačanje održivosti te poticanje zelene i digitalne tranzicije poduzetnika„ donesene su 63 odluke o financiranju dok su za 13 korisnika donesene Odluke o stavljanu van snage odluka o financiranju tako da su ukupno u izvještajnom razdoblju sklopljena 57 ugovora o dodjeli bespovratnih sredstava od kojih su 2 ugovora raskinuta. Ukupna alokacija za navedenu investiciju iznosi 165.903.510,52 eura, te je u 2024. godini ukupno isplaćeno 51.639.776,10 eura za 53 korisnika.</w:t>
      </w:r>
    </w:p>
    <w:p w:rsidR="0054309C" w:rsidRPr="0054309C" w:rsidRDefault="0054309C" w:rsidP="0054309C">
      <w:pPr>
        <w:jc w:val="both"/>
        <w:rPr>
          <w:rFonts w:ascii="Times New Roman" w:hAnsi="Times New Roman" w:cs="Times New Roman"/>
          <w:b/>
          <w:sz w:val="24"/>
          <w:szCs w:val="24"/>
        </w:rPr>
      </w:pPr>
      <w:proofErr w:type="spellStart"/>
      <w:r w:rsidRPr="0054309C">
        <w:rPr>
          <w:rFonts w:ascii="Times New Roman" w:hAnsi="Times New Roman" w:cs="Times New Roman"/>
          <w:b/>
          <w:sz w:val="24"/>
          <w:szCs w:val="24"/>
        </w:rPr>
        <w:t>Podprojekt</w:t>
      </w:r>
      <w:proofErr w:type="spellEnd"/>
      <w:r w:rsidRPr="0054309C">
        <w:rPr>
          <w:rFonts w:ascii="Times New Roman" w:hAnsi="Times New Roman" w:cs="Times New Roman"/>
          <w:b/>
          <w:sz w:val="24"/>
          <w:szCs w:val="24"/>
        </w:rPr>
        <w:t xml:space="preserve"> - Digitalizacija procesa u sportu i rekreaciji na lokalnoj i regionalnoj razini</w:t>
      </w: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Kroz projekt unaprjeđenja i nadogradnje Informacijskog sustava u sportu primarno će se omogućiti pristup sustavu, ažuriranje podataka i usklađivanje procedura na lokalnoj i regionalnoj razini te pojednostavljenje postupanja i transparentnosti. Stvoriti će se preduvjeti za uvođenje elektroničkih procedura koje će bit prilagođene potrebama poslovanja pravnih osoba iz sustava sporta i ostalih dionika u sustavu sporta i zdravstveno usmjerenog tjelesnog vježbanja te građana. Navedeni prijedlog investicije usklađen je s Nacionalnim programom športa 2019.-2026. koji utvrđuje potrebu daljnjeg razvoja Informacijskog sustava u sportu. </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Digitalizacija procesa u sportu i rekreaciji na lokalnoj i regionalnoj razini kroz uspostavu novih aplikativnih modula te omogućavanje direktnog pristupa osnovnim registrima i evidencijama Informacijskog sustava u sportu prije svega je namijenjena tijelima državne uprave, lokalne i područne samouprave, pravnim osobama iz sustava sporta te građanima (sportašima i rekreativcima). </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U 2024. godini planirano je financiranje implementacije 1. modula. S obzirom na promjenu aktivnosti koja je definirana NPOO-om, uvela se nova aktivnost: provedba Javne nabave usluge poslovne analize, izrada funkcionalnih i tehničkih specifikacija te nadzor i kontrola kvalitete uspostave e-usluga u okviru investicija iz NPOO-a. Ugovor o javnoj nabavi usluge poslovne </w:t>
      </w:r>
      <w:r w:rsidRPr="0054309C">
        <w:rPr>
          <w:rFonts w:ascii="Times New Roman" w:hAnsi="Times New Roman" w:cs="Times New Roman"/>
          <w:sz w:val="24"/>
          <w:szCs w:val="24"/>
        </w:rPr>
        <w:lastRenderedPageBreak/>
        <w:t>analize, izrada funkcionalnih i tehničkih specifikacija te nadzor i kontrola kvalitete uspostave e-usluga u okviru investicija iz NPOO-a, za Grupu 5. potpisan je 30. travnja 2024. godine. Navedena sredstva rebalansom su prenamijenjena na izrade funkcionalnih i tehničkih specifikacija te nadzora i kontrole kvalitete nadogradnje 1. i 2. modula u iznosu od 37.500,00 eura. U 2024. godini  utrošeno je 25.000,00 eura za izradu funkcionalnih i tehničkih specifikacija 1. i 2. modula.</w:t>
      </w:r>
      <w:r w:rsidRPr="0054309C">
        <w:rPr>
          <w:rFonts w:ascii="Times New Roman" w:hAnsi="Times New Roman" w:cs="Times New Roman"/>
          <w:sz w:val="24"/>
          <w:szCs w:val="24"/>
        </w:rPr>
        <w:tab/>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jc w:val="both"/>
        <w:rPr>
          <w:rFonts w:ascii="Times New Roman" w:hAnsi="Times New Roman" w:cs="Times New Roman"/>
          <w:sz w:val="24"/>
          <w:szCs w:val="24"/>
        </w:rPr>
      </w:pPr>
    </w:p>
    <w:tbl>
      <w:tblPr>
        <w:tblW w:w="8926" w:type="dxa"/>
        <w:tblLook w:val="04A0" w:firstRow="1" w:lastRow="0" w:firstColumn="1" w:lastColumn="0" w:noHBand="0" w:noVBand="1"/>
      </w:tblPr>
      <w:tblGrid>
        <w:gridCol w:w="4531"/>
        <w:gridCol w:w="2127"/>
        <w:gridCol w:w="2268"/>
      </w:tblGrid>
      <w:tr w:rsidR="0054309C" w:rsidRPr="0054309C" w:rsidTr="00D826F3">
        <w:trPr>
          <w:trHeight w:val="690"/>
        </w:trPr>
        <w:tc>
          <w:tcPr>
            <w:tcW w:w="4531" w:type="dxa"/>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POZIV</w:t>
            </w:r>
          </w:p>
        </w:tc>
        <w:tc>
          <w:tcPr>
            <w:tcW w:w="2127" w:type="dxa"/>
            <w:tcBorders>
              <w:top w:val="single" w:sz="4" w:space="0" w:color="auto"/>
              <w:left w:val="nil"/>
              <w:bottom w:val="single" w:sz="4" w:space="0" w:color="auto"/>
              <w:right w:val="single" w:sz="4" w:space="0" w:color="auto"/>
            </w:tcBorders>
            <w:shd w:val="clear" w:color="000000" w:fill="E2EFDA"/>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UKUPNA ALOKACIJA</w:t>
            </w:r>
          </w:p>
        </w:tc>
        <w:tc>
          <w:tcPr>
            <w:tcW w:w="2268" w:type="dxa"/>
            <w:tcBorders>
              <w:top w:val="single" w:sz="4" w:space="0" w:color="auto"/>
              <w:left w:val="nil"/>
              <w:bottom w:val="single" w:sz="4" w:space="0" w:color="auto"/>
              <w:right w:val="single" w:sz="4" w:space="0" w:color="auto"/>
            </w:tcBorders>
            <w:shd w:val="clear" w:color="000000" w:fill="E2EFDA"/>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ISPLAĆENA SREDSTVA</w:t>
            </w:r>
            <w:r w:rsidRPr="0054309C">
              <w:rPr>
                <w:rFonts w:ascii="Calibri" w:eastAsia="Times New Roman" w:hAnsi="Calibri" w:cs="Calibri"/>
                <w:b/>
                <w:bCs/>
                <w:color w:val="000000"/>
                <w:sz w:val="20"/>
                <w:szCs w:val="20"/>
                <w:lang w:eastAsia="hr-HR"/>
              </w:rPr>
              <w:br/>
              <w:t>IZVOR 581</w:t>
            </w:r>
          </w:p>
        </w:tc>
      </w:tr>
      <w:tr w:rsidR="0054309C" w:rsidRPr="0054309C" w:rsidTr="00D826F3">
        <w:trPr>
          <w:trHeight w:val="300"/>
        </w:trPr>
        <w:tc>
          <w:tcPr>
            <w:tcW w:w="4531" w:type="dxa"/>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Satelitski račun održivog turizma</w:t>
            </w:r>
          </w:p>
        </w:tc>
        <w:tc>
          <w:tcPr>
            <w:tcW w:w="2127"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1.327.228,08</w:t>
            </w:r>
          </w:p>
        </w:tc>
        <w:tc>
          <w:tcPr>
            <w:tcW w:w="2268"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168.207,09</w:t>
            </w:r>
          </w:p>
        </w:tc>
      </w:tr>
      <w:tr w:rsidR="0054309C" w:rsidRPr="0054309C" w:rsidTr="00D826F3">
        <w:trPr>
          <w:trHeight w:val="900"/>
        </w:trPr>
        <w:tc>
          <w:tcPr>
            <w:tcW w:w="4531" w:type="dxa"/>
            <w:tcBorders>
              <w:top w:val="nil"/>
              <w:left w:val="single" w:sz="4" w:space="0" w:color="auto"/>
              <w:bottom w:val="single" w:sz="4" w:space="0" w:color="auto"/>
              <w:right w:val="single" w:sz="4" w:space="0" w:color="auto"/>
            </w:tcBorders>
            <w:shd w:val="clear" w:color="auto" w:fill="auto"/>
            <w:vAlign w:val="bottom"/>
            <w:hideMark/>
          </w:tcPr>
          <w:p w:rsidR="0054309C" w:rsidRPr="0054309C" w:rsidRDefault="0054309C" w:rsidP="0054309C">
            <w:pPr>
              <w:spacing w:after="0" w:line="240" w:lineRule="auto"/>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Regionalna diversifikacija i specijalizacija hrvatskog turizma kroz ulaganja u razvoj turističkih proizvoda visoke dodane vrijednosti</w:t>
            </w:r>
          </w:p>
        </w:tc>
        <w:tc>
          <w:tcPr>
            <w:tcW w:w="2127"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123.432.211,82</w:t>
            </w:r>
          </w:p>
        </w:tc>
        <w:tc>
          <w:tcPr>
            <w:tcW w:w="2268"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2.077.955,35</w:t>
            </w:r>
          </w:p>
        </w:tc>
      </w:tr>
      <w:tr w:rsidR="0054309C" w:rsidRPr="0054309C" w:rsidTr="00D826F3">
        <w:trPr>
          <w:trHeight w:val="600"/>
        </w:trPr>
        <w:tc>
          <w:tcPr>
            <w:tcW w:w="4531" w:type="dxa"/>
            <w:tcBorders>
              <w:top w:val="nil"/>
              <w:left w:val="single" w:sz="4" w:space="0" w:color="auto"/>
              <w:bottom w:val="single" w:sz="4" w:space="0" w:color="auto"/>
              <w:right w:val="single" w:sz="4" w:space="0" w:color="auto"/>
            </w:tcBorders>
            <w:shd w:val="clear" w:color="auto" w:fill="auto"/>
            <w:vAlign w:val="bottom"/>
            <w:hideMark/>
          </w:tcPr>
          <w:p w:rsidR="0054309C" w:rsidRPr="0054309C" w:rsidRDefault="0054309C" w:rsidP="0054309C">
            <w:pPr>
              <w:spacing w:after="0" w:line="240" w:lineRule="auto"/>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Jačanje održivosti te poticanje zelene i digitalne tranzicije poduzetnika</w:t>
            </w:r>
          </w:p>
        </w:tc>
        <w:tc>
          <w:tcPr>
            <w:tcW w:w="2127"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165.903.510,52</w:t>
            </w:r>
          </w:p>
        </w:tc>
        <w:tc>
          <w:tcPr>
            <w:tcW w:w="2268"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51.639.776,10</w:t>
            </w:r>
          </w:p>
        </w:tc>
      </w:tr>
      <w:tr w:rsidR="0054309C" w:rsidRPr="0054309C" w:rsidTr="00D826F3">
        <w:trPr>
          <w:trHeight w:val="600"/>
        </w:trPr>
        <w:tc>
          <w:tcPr>
            <w:tcW w:w="4531" w:type="dxa"/>
            <w:tcBorders>
              <w:top w:val="nil"/>
              <w:left w:val="single" w:sz="4" w:space="0" w:color="auto"/>
              <w:bottom w:val="single" w:sz="4" w:space="0" w:color="auto"/>
              <w:right w:val="single" w:sz="4" w:space="0" w:color="auto"/>
            </w:tcBorders>
            <w:shd w:val="clear" w:color="auto" w:fill="auto"/>
            <w:vAlign w:val="bottom"/>
            <w:hideMark/>
          </w:tcPr>
          <w:p w:rsidR="0054309C" w:rsidRPr="0054309C" w:rsidRDefault="0054309C" w:rsidP="0054309C">
            <w:pPr>
              <w:spacing w:after="0" w:line="240" w:lineRule="auto"/>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Digitalizacija procesa u sportu i rekreaciji na lokalnoj i regionalnoj razini</w:t>
            </w:r>
          </w:p>
        </w:tc>
        <w:tc>
          <w:tcPr>
            <w:tcW w:w="2127"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1.493.000,07</w:t>
            </w:r>
          </w:p>
        </w:tc>
        <w:tc>
          <w:tcPr>
            <w:tcW w:w="2268"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25.000,00</w:t>
            </w:r>
          </w:p>
        </w:tc>
      </w:tr>
    </w:tbl>
    <w:p w:rsidR="0054309C" w:rsidRPr="0054309C" w:rsidRDefault="0054309C" w:rsidP="0054309C"/>
    <w:p w:rsidR="0054309C" w:rsidRPr="0054309C" w:rsidRDefault="0054309C" w:rsidP="0054309C">
      <w:pPr>
        <w:rPr>
          <w:rFonts w:ascii="Times New Roman" w:hAnsi="Times New Roman" w:cs="Times New Roman"/>
          <w:b/>
          <w:sz w:val="24"/>
          <w:szCs w:val="24"/>
        </w:rPr>
      </w:pPr>
      <w:r w:rsidRPr="0054309C">
        <w:rPr>
          <w:rFonts w:ascii="Times New Roman" w:hAnsi="Times New Roman" w:cs="Times New Roman"/>
          <w:b/>
          <w:sz w:val="24"/>
          <w:szCs w:val="24"/>
        </w:rPr>
        <w:t>A916042 UČINKOVITI LJUDSKI POTENCIJALI 2021.-2027.</w:t>
      </w:r>
    </w:p>
    <w:p w:rsidR="0054309C" w:rsidRPr="0054309C" w:rsidRDefault="0054309C" w:rsidP="0054309C">
      <w:pPr>
        <w:jc w:val="both"/>
        <w:rPr>
          <w:rFonts w:ascii="Times New Roman" w:hAnsi="Times New Roman" w:cs="Times New Roman"/>
          <w:b/>
          <w:sz w:val="24"/>
          <w:szCs w:val="24"/>
        </w:rPr>
      </w:pPr>
      <w:proofErr w:type="spellStart"/>
      <w:r w:rsidRPr="0054309C">
        <w:rPr>
          <w:rFonts w:ascii="Times New Roman" w:hAnsi="Times New Roman" w:cs="Times New Roman"/>
          <w:b/>
          <w:sz w:val="24"/>
          <w:szCs w:val="24"/>
        </w:rPr>
        <w:t>Podrojekt</w:t>
      </w:r>
      <w:proofErr w:type="spellEnd"/>
      <w:r w:rsidRPr="0054309C">
        <w:rPr>
          <w:rFonts w:ascii="Times New Roman" w:hAnsi="Times New Roman" w:cs="Times New Roman"/>
          <w:b/>
          <w:sz w:val="24"/>
          <w:szCs w:val="24"/>
        </w:rPr>
        <w:t xml:space="preserve"> - Tehnička pomoć 2021.-2027.</w:t>
      </w: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Ministarstvo turizma i sporta, kao Posredničko tijelo razine 1 sukladno Odluci o programima veznim za kohezijsku politiku za financijsko razdoblje 2021.–2027. u Republici Hrvatskoj i tijelima zaduženima za njihovu pripremu, korisnik je Tehničke pomoći iz Programa Učinkoviti ljudski potencijali 2021.-2027. U skladu s Analizom radne opterećenosti (ARO) te potrebama iskazanim u Prijedlogu odluke VRH o utvrđivanju broja državnih službenika s posebnim koeficijentima složenosti poslova, za plaće i ostala davanja u 2024. godini sredstva su utrošena</w:t>
      </w:r>
      <w:r w:rsidRPr="0054309C">
        <w:rPr>
          <w:rFonts w:ascii="Times New Roman" w:hAnsi="Times New Roman" w:cs="Times New Roman"/>
          <w:sz w:val="24"/>
          <w:szCs w:val="24"/>
          <w:highlight w:val="yellow"/>
        </w:rPr>
        <w:t xml:space="preserve"> </w:t>
      </w:r>
      <w:r w:rsidRPr="0054309C">
        <w:rPr>
          <w:rFonts w:ascii="Times New Roman" w:hAnsi="Times New Roman" w:cs="Times New Roman"/>
          <w:sz w:val="24"/>
          <w:szCs w:val="24"/>
        </w:rPr>
        <w:t xml:space="preserve">s izvora 11 opći prihodi i primici. </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U svrhu jačanja ljudskih kapaciteta djelatnika, a što je nužno za održavanje kvalitete njihovog rada i postizanja definiranih ciljeva, u 2024. godini za sudjelovanje u programima izobrazbe utrošeno je 5.400,00 eura.</w:t>
      </w: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 </w:t>
      </w: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U okviru delegiranih dužnosti, sukladno Operativnim smjernicama za korisnike sredstava EU, Ministarstvo turizma i sporta provodi mjere informiranja i vidljivosti te organizira informativna događanja i sudjeluje na informativnim događanjima Upravljačkog tijela i Koordinacijskog tijela sukladno navedenim dokumentima. Za pripremu i provedbu informativnih događanja Ministarstva kao PT1 u okviru projekta Tehničke pomoći u 2024. godini utrošeno je 9.560,50 eura. Za službena putovanja, a vezano uz potrebe za praćenja provedbe projekata, pripremu, provedbu i sudjelovanje na informativnim događanjima u 2024. godini potrošeno je 8.508,68 eura.</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jc w:val="both"/>
        <w:rPr>
          <w:rFonts w:ascii="Times New Roman" w:hAnsi="Times New Roman" w:cs="Times New Roman"/>
          <w:b/>
          <w:sz w:val="24"/>
          <w:szCs w:val="24"/>
        </w:rPr>
      </w:pPr>
      <w:proofErr w:type="spellStart"/>
      <w:r w:rsidRPr="0054309C">
        <w:rPr>
          <w:rFonts w:ascii="Times New Roman" w:hAnsi="Times New Roman" w:cs="Times New Roman"/>
          <w:b/>
          <w:sz w:val="24"/>
          <w:szCs w:val="24"/>
        </w:rPr>
        <w:t>Podrojekt</w:t>
      </w:r>
      <w:proofErr w:type="spellEnd"/>
      <w:r w:rsidRPr="0054309C">
        <w:rPr>
          <w:rFonts w:ascii="Times New Roman" w:hAnsi="Times New Roman" w:cs="Times New Roman"/>
          <w:b/>
          <w:sz w:val="24"/>
          <w:szCs w:val="24"/>
        </w:rPr>
        <w:t xml:space="preserve"> -  Jačanje kapaciteta u sportu</w:t>
      </w: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Ministarstvo turizma i sporta kao Posredničko tijelo razine 1 objavilo je poziv „Jačanje sustava </w:t>
      </w:r>
      <w:proofErr w:type="spellStart"/>
      <w:r w:rsidRPr="0054309C">
        <w:rPr>
          <w:rFonts w:ascii="Times New Roman" w:hAnsi="Times New Roman" w:cs="Times New Roman"/>
          <w:sz w:val="24"/>
          <w:szCs w:val="24"/>
        </w:rPr>
        <w:t>parasporta</w:t>
      </w:r>
      <w:proofErr w:type="spellEnd"/>
      <w:r w:rsidRPr="0054309C">
        <w:rPr>
          <w:rFonts w:ascii="Times New Roman" w:hAnsi="Times New Roman" w:cs="Times New Roman"/>
          <w:sz w:val="24"/>
          <w:szCs w:val="24"/>
        </w:rPr>
        <w:t xml:space="preserve"> u Republici Hrvatskoj“ s ciljem jačanja kapaciteta trenera i instruktora (zaposlenika klubova/saveza koji su članice Hrvatskog </w:t>
      </w:r>
      <w:proofErr w:type="spellStart"/>
      <w:r w:rsidRPr="0054309C">
        <w:rPr>
          <w:rFonts w:ascii="Times New Roman" w:hAnsi="Times New Roman" w:cs="Times New Roman"/>
          <w:sz w:val="24"/>
          <w:szCs w:val="24"/>
        </w:rPr>
        <w:t>paraolimpijskog</w:t>
      </w:r>
      <w:proofErr w:type="spellEnd"/>
      <w:r w:rsidRPr="0054309C">
        <w:rPr>
          <w:rFonts w:ascii="Times New Roman" w:hAnsi="Times New Roman" w:cs="Times New Roman"/>
          <w:sz w:val="24"/>
          <w:szCs w:val="24"/>
        </w:rPr>
        <w:t xml:space="preserve"> odbora) kroz njihovo stručno </w:t>
      </w:r>
      <w:r w:rsidRPr="0054309C">
        <w:rPr>
          <w:rFonts w:ascii="Times New Roman" w:hAnsi="Times New Roman" w:cs="Times New Roman"/>
          <w:sz w:val="24"/>
          <w:szCs w:val="24"/>
        </w:rPr>
        <w:lastRenderedPageBreak/>
        <w:t xml:space="preserve">usavršavanje i edukacije te s ciljem provođenja praktičnih treninga i aktivnosti za osobe s invaliditetom i djecu s teškoćama u razvoju te poboljšanje pristupa </w:t>
      </w:r>
      <w:proofErr w:type="spellStart"/>
      <w:r w:rsidRPr="0054309C">
        <w:rPr>
          <w:rFonts w:ascii="Times New Roman" w:hAnsi="Times New Roman" w:cs="Times New Roman"/>
          <w:sz w:val="24"/>
          <w:szCs w:val="24"/>
        </w:rPr>
        <w:t>parasportskim</w:t>
      </w:r>
      <w:proofErr w:type="spellEnd"/>
      <w:r w:rsidRPr="0054309C">
        <w:rPr>
          <w:rFonts w:ascii="Times New Roman" w:hAnsi="Times New Roman" w:cs="Times New Roman"/>
          <w:sz w:val="24"/>
          <w:szCs w:val="24"/>
        </w:rPr>
        <w:t xml:space="preserve"> sadržajima osobama s invaliditetom i djeci s teškoćama u razvoju.</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Poziv je objavljen 30. srpnja 2024. godine. Rok za dostavu projektnog prijedloga je bio 16. rujna 2024. godine. Nakon završetka procesa odabira, potpisan je Ugovor o dodjeli bespovratnih sredstava s korisnikom Hrvatskim </w:t>
      </w:r>
      <w:proofErr w:type="spellStart"/>
      <w:r w:rsidRPr="0054309C">
        <w:rPr>
          <w:rFonts w:ascii="Times New Roman" w:hAnsi="Times New Roman" w:cs="Times New Roman"/>
          <w:sz w:val="24"/>
          <w:szCs w:val="24"/>
        </w:rPr>
        <w:t>paraolimpijskim</w:t>
      </w:r>
      <w:proofErr w:type="spellEnd"/>
      <w:r w:rsidRPr="0054309C">
        <w:rPr>
          <w:rFonts w:ascii="Times New Roman" w:hAnsi="Times New Roman" w:cs="Times New Roman"/>
          <w:sz w:val="24"/>
          <w:szCs w:val="24"/>
        </w:rPr>
        <w:t xml:space="preserve"> odborom (HPO). Korisniku je 18. prosinca 2024. isplaćen predujam u iznosu od 40% ugovorenih sredstava, odnosno 1.600.000,00  eura čime je utrošen cjelokupni planirani iznos.</w:t>
      </w:r>
    </w:p>
    <w:p w:rsidR="0054309C" w:rsidRPr="0054309C" w:rsidRDefault="0054309C" w:rsidP="0054309C">
      <w:pPr>
        <w:jc w:val="both"/>
        <w:rPr>
          <w:rFonts w:ascii="Times New Roman" w:hAnsi="Times New Roman" w:cs="Times New Roman"/>
          <w:sz w:val="24"/>
          <w:szCs w:val="24"/>
        </w:rPr>
      </w:pPr>
    </w:p>
    <w:tbl>
      <w:tblPr>
        <w:tblW w:w="9067" w:type="dxa"/>
        <w:tblLook w:val="04A0" w:firstRow="1" w:lastRow="0" w:firstColumn="1" w:lastColumn="0" w:noHBand="0" w:noVBand="1"/>
      </w:tblPr>
      <w:tblGrid>
        <w:gridCol w:w="3340"/>
        <w:gridCol w:w="1480"/>
        <w:gridCol w:w="1409"/>
        <w:gridCol w:w="1285"/>
        <w:gridCol w:w="1553"/>
      </w:tblGrid>
      <w:tr w:rsidR="0054309C" w:rsidRPr="0054309C" w:rsidTr="00D826F3">
        <w:trPr>
          <w:trHeight w:val="345"/>
        </w:trPr>
        <w:tc>
          <w:tcPr>
            <w:tcW w:w="3340" w:type="dxa"/>
            <w:vMerge w:val="restart"/>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POZIV</w:t>
            </w:r>
          </w:p>
        </w:tc>
        <w:tc>
          <w:tcPr>
            <w:tcW w:w="1480" w:type="dxa"/>
            <w:vMerge w:val="restart"/>
            <w:tcBorders>
              <w:top w:val="single" w:sz="4" w:space="0" w:color="auto"/>
              <w:left w:val="single" w:sz="4" w:space="0" w:color="auto"/>
              <w:bottom w:val="single" w:sz="4" w:space="0" w:color="auto"/>
              <w:right w:val="single" w:sz="4" w:space="0" w:color="auto"/>
            </w:tcBorders>
            <w:shd w:val="clear" w:color="000000" w:fill="E2EFDA"/>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 xml:space="preserve">UGOVORENA </w:t>
            </w:r>
            <w:r w:rsidRPr="0054309C">
              <w:rPr>
                <w:rFonts w:ascii="Calibri" w:eastAsia="Times New Roman" w:hAnsi="Calibri" w:cs="Calibri"/>
                <w:b/>
                <w:bCs/>
                <w:color w:val="000000"/>
                <w:sz w:val="20"/>
                <w:szCs w:val="20"/>
                <w:lang w:eastAsia="hr-HR"/>
              </w:rPr>
              <w:br/>
              <w:t>SREDSTVA</w:t>
            </w:r>
          </w:p>
        </w:tc>
        <w:tc>
          <w:tcPr>
            <w:tcW w:w="4247" w:type="dxa"/>
            <w:gridSpan w:val="3"/>
            <w:tcBorders>
              <w:top w:val="single" w:sz="4" w:space="0" w:color="auto"/>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ISPLAĆENA SREDSTVA</w:t>
            </w:r>
          </w:p>
        </w:tc>
      </w:tr>
      <w:tr w:rsidR="0054309C" w:rsidRPr="0054309C" w:rsidTr="00D826F3">
        <w:trPr>
          <w:trHeight w:val="360"/>
        </w:trPr>
        <w:tc>
          <w:tcPr>
            <w:tcW w:w="3340" w:type="dxa"/>
            <w:vMerge/>
            <w:tcBorders>
              <w:top w:val="single" w:sz="4" w:space="0" w:color="auto"/>
              <w:left w:val="single" w:sz="4" w:space="0" w:color="auto"/>
              <w:bottom w:val="single" w:sz="4" w:space="0" w:color="auto"/>
              <w:right w:val="single" w:sz="4" w:space="0" w:color="auto"/>
            </w:tcBorders>
            <w:vAlign w:val="center"/>
            <w:hideMark/>
          </w:tcPr>
          <w:p w:rsidR="0054309C" w:rsidRPr="0054309C" w:rsidRDefault="0054309C" w:rsidP="0054309C">
            <w:pPr>
              <w:spacing w:after="0" w:line="240" w:lineRule="auto"/>
              <w:rPr>
                <w:rFonts w:ascii="Calibri" w:eastAsia="Times New Roman" w:hAnsi="Calibri" w:cs="Calibri"/>
                <w:b/>
                <w:bCs/>
                <w:color w:val="000000"/>
                <w:sz w:val="20"/>
                <w:szCs w:val="20"/>
                <w:lang w:eastAsia="hr-HR"/>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54309C" w:rsidRPr="0054309C" w:rsidRDefault="0054309C" w:rsidP="0054309C">
            <w:pPr>
              <w:spacing w:after="0" w:line="240" w:lineRule="auto"/>
              <w:rPr>
                <w:rFonts w:ascii="Calibri" w:eastAsia="Times New Roman" w:hAnsi="Calibri" w:cs="Calibri"/>
                <w:b/>
                <w:bCs/>
                <w:color w:val="000000"/>
                <w:sz w:val="20"/>
                <w:szCs w:val="20"/>
                <w:lang w:eastAsia="hr-HR"/>
              </w:rPr>
            </w:pPr>
          </w:p>
        </w:tc>
        <w:tc>
          <w:tcPr>
            <w:tcW w:w="1409" w:type="dxa"/>
            <w:tcBorders>
              <w:top w:val="nil"/>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SVEUKUPNO</w:t>
            </w:r>
          </w:p>
        </w:tc>
        <w:tc>
          <w:tcPr>
            <w:tcW w:w="1285" w:type="dxa"/>
            <w:tcBorders>
              <w:top w:val="nil"/>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IZVOR 561</w:t>
            </w:r>
          </w:p>
        </w:tc>
        <w:tc>
          <w:tcPr>
            <w:tcW w:w="1553" w:type="dxa"/>
            <w:tcBorders>
              <w:top w:val="nil"/>
              <w:left w:val="nil"/>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IZVOR 12</w:t>
            </w:r>
          </w:p>
        </w:tc>
      </w:tr>
      <w:tr w:rsidR="0054309C" w:rsidRPr="0054309C" w:rsidTr="00D826F3">
        <w:trPr>
          <w:trHeight w:val="315"/>
        </w:trPr>
        <w:tc>
          <w:tcPr>
            <w:tcW w:w="3340" w:type="dxa"/>
            <w:tcBorders>
              <w:top w:val="nil"/>
              <w:left w:val="single" w:sz="4" w:space="0" w:color="auto"/>
              <w:bottom w:val="single" w:sz="4" w:space="0" w:color="auto"/>
              <w:right w:val="single" w:sz="4" w:space="0" w:color="auto"/>
            </w:tcBorders>
            <w:shd w:val="clear" w:color="auto" w:fill="auto"/>
            <w:vAlign w:val="center"/>
            <w:hideMark/>
          </w:tcPr>
          <w:p w:rsidR="0054309C" w:rsidRPr="0054309C" w:rsidRDefault="0054309C" w:rsidP="0054309C">
            <w:pPr>
              <w:spacing w:after="0" w:line="240" w:lineRule="auto"/>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Tehnička pomoć 2021.-2027.</w:t>
            </w:r>
          </w:p>
        </w:tc>
        <w:tc>
          <w:tcPr>
            <w:tcW w:w="1480"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42.567,00</w:t>
            </w:r>
          </w:p>
        </w:tc>
        <w:tc>
          <w:tcPr>
            <w:tcW w:w="1409"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23.469,18</w:t>
            </w:r>
          </w:p>
        </w:tc>
        <w:tc>
          <w:tcPr>
            <w:tcW w:w="1285"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19.348,79</w:t>
            </w:r>
          </w:p>
        </w:tc>
        <w:tc>
          <w:tcPr>
            <w:tcW w:w="1553"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4.120,39</w:t>
            </w:r>
          </w:p>
        </w:tc>
      </w:tr>
      <w:tr w:rsidR="0054309C" w:rsidRPr="0054309C" w:rsidTr="00D826F3">
        <w:trPr>
          <w:trHeight w:val="315"/>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Jačanje kapaciteta u sportu</w:t>
            </w:r>
          </w:p>
        </w:tc>
        <w:tc>
          <w:tcPr>
            <w:tcW w:w="1480"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4.000.000,00</w:t>
            </w:r>
          </w:p>
        </w:tc>
        <w:tc>
          <w:tcPr>
            <w:tcW w:w="1409"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1.600.000,00</w:t>
            </w:r>
          </w:p>
        </w:tc>
        <w:tc>
          <w:tcPr>
            <w:tcW w:w="1285"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1.360.000,00</w:t>
            </w:r>
          </w:p>
        </w:tc>
        <w:tc>
          <w:tcPr>
            <w:tcW w:w="1553" w:type="dxa"/>
            <w:tcBorders>
              <w:top w:val="nil"/>
              <w:left w:val="nil"/>
              <w:bottom w:val="single" w:sz="4" w:space="0" w:color="auto"/>
              <w:right w:val="single" w:sz="4" w:space="0" w:color="auto"/>
            </w:tcBorders>
            <w:shd w:val="clear" w:color="auto" w:fill="auto"/>
            <w:noWrap/>
            <w:vAlign w:val="center"/>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240.000,00</w:t>
            </w:r>
          </w:p>
        </w:tc>
      </w:tr>
    </w:tbl>
    <w:p w:rsidR="0054309C" w:rsidRPr="0054309C" w:rsidRDefault="0054309C" w:rsidP="0054309C">
      <w:pPr>
        <w:jc w:val="both"/>
        <w:rPr>
          <w:rFonts w:ascii="Times New Roman" w:hAnsi="Times New Roman" w:cs="Times New Roman"/>
          <w:sz w:val="24"/>
          <w:szCs w:val="24"/>
        </w:rPr>
      </w:pPr>
    </w:p>
    <w:p w:rsidR="0054309C" w:rsidRPr="0054309C" w:rsidRDefault="0054309C" w:rsidP="0054309C">
      <w:pPr>
        <w:jc w:val="both"/>
        <w:rPr>
          <w:rFonts w:ascii="Times New Roman" w:hAnsi="Times New Roman" w:cs="Times New Roman"/>
          <w:b/>
          <w:sz w:val="24"/>
          <w:szCs w:val="24"/>
        </w:rPr>
      </w:pPr>
      <w:r w:rsidRPr="0054309C">
        <w:rPr>
          <w:rFonts w:ascii="Times New Roman" w:hAnsi="Times New Roman" w:cs="Times New Roman"/>
          <w:b/>
          <w:sz w:val="24"/>
          <w:szCs w:val="24"/>
        </w:rPr>
        <w:t>K916058 PROGRAM KONKURENTNOST I KOHEZIJA 2021.-2027.</w:t>
      </w: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Hrvatska banka za obnovu i razvitak (HBOR) objavila je 14. studenog 2024. poziv ˝Krediti za održivi turizam˝. Cilj tog financijskog instrumenta „Krediti za održivi turizam“ je poticanje investicija te pružanje potpore novim, financijski održivim ulaganjima mikro, malih i srednjih poduzetnika, vodeći računa o doprinosu ciljevima zelene tranzicije te kvaliteti turističkih proizvoda i usluga u vidu povoljnih kredita s mogućnošću otpisa glavnice.</w:t>
      </w:r>
      <w:r w:rsidRPr="0054309C">
        <w:t xml:space="preserve"> </w:t>
      </w:r>
      <w:r w:rsidRPr="0054309C">
        <w:rPr>
          <w:rFonts w:ascii="Times New Roman" w:hAnsi="Times New Roman" w:cs="Times New Roman"/>
          <w:sz w:val="24"/>
          <w:szCs w:val="24"/>
        </w:rPr>
        <w:t>Ukupni programski doprinos iznosi 170.282.398,04 eura, a uključuje iznos koji je osiguran iz PKK-a 90.711.184,00 eura i očekivano javno sufinanciranje koje pruža HBOR 79.571.214,04 eura.</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Za 2024. godinu planiran je iznos u skladu sa člankom 92. Uredbe (EU) 2021/1060, a koji određuje avansnu jednokratnu isplatu do najviše 30% ukupnog iznosa programskog doprinosa, a koji iznosi 170.282.398,04 eura, odobrenog financijskom instrumentu u okviru relevantnog Sporazuma o financiranju. Sredstva se uplaćuju Korisniku iz članka 2. stavka 9.e) Uredbe (EU) 2021/1060, a to je Hrvatska banka za obnovu i razvitak (HBOR), kao Tijelu koje provodi financijski instrument za isplatu kredita poduzetnicima iz financijskog instrumenta "Krediti za održivi turizam“.  </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HBOR-u je 25. studenog 2024. isplaćena 1. tranša u iznosu 51.084.719,41 euro (30% programskog doprinosa) sukladno zahtjevu za plaćanje za financijski instrument PK.1.3.02.0001 Krediti za održivi turizam. </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Do kraja 2024. godine je zaprimljeno kreditnih zahtjeva u iznosu 125.183.797,00 eura te su svi u fazi obrade. Prva odobrenja na tijelima odlučivanja HBOR-a očekuju se u prvom kvartalu 2025. godine.</w:t>
      </w:r>
    </w:p>
    <w:p w:rsidR="0054309C" w:rsidRPr="0054309C" w:rsidRDefault="0054309C" w:rsidP="0054309C">
      <w:pPr>
        <w:spacing w:after="0" w:line="240" w:lineRule="auto"/>
        <w:jc w:val="both"/>
        <w:rPr>
          <w:rFonts w:ascii="Times New Roman" w:hAnsi="Times New Roman" w:cs="Times New Roman"/>
          <w:sz w:val="24"/>
          <w:szCs w:val="24"/>
        </w:rPr>
      </w:pPr>
    </w:p>
    <w:tbl>
      <w:tblPr>
        <w:tblW w:w="8926" w:type="dxa"/>
        <w:tblLook w:val="04A0" w:firstRow="1" w:lastRow="0" w:firstColumn="1" w:lastColumn="0" w:noHBand="0" w:noVBand="1"/>
      </w:tblPr>
      <w:tblGrid>
        <w:gridCol w:w="4480"/>
        <w:gridCol w:w="1609"/>
        <w:gridCol w:w="2837"/>
      </w:tblGrid>
      <w:tr w:rsidR="0054309C" w:rsidRPr="0054309C" w:rsidTr="00D826F3">
        <w:trPr>
          <w:trHeight w:val="900"/>
        </w:trPr>
        <w:tc>
          <w:tcPr>
            <w:tcW w:w="4480" w:type="dxa"/>
            <w:tcBorders>
              <w:top w:val="single" w:sz="4" w:space="0" w:color="auto"/>
              <w:left w:val="single" w:sz="4" w:space="0" w:color="auto"/>
              <w:bottom w:val="single" w:sz="4" w:space="0" w:color="auto"/>
              <w:right w:val="single" w:sz="4" w:space="0" w:color="auto"/>
            </w:tcBorders>
            <w:shd w:val="clear" w:color="000000" w:fill="E2EFDA"/>
            <w:noWrap/>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POZIV</w:t>
            </w:r>
          </w:p>
        </w:tc>
        <w:tc>
          <w:tcPr>
            <w:tcW w:w="1609" w:type="dxa"/>
            <w:tcBorders>
              <w:top w:val="single" w:sz="4" w:space="0" w:color="auto"/>
              <w:left w:val="nil"/>
              <w:bottom w:val="single" w:sz="4" w:space="0" w:color="auto"/>
              <w:right w:val="single" w:sz="4" w:space="0" w:color="auto"/>
            </w:tcBorders>
            <w:shd w:val="clear" w:color="000000" w:fill="E2EFDA"/>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UKUPNA ALOKACIJA</w:t>
            </w:r>
          </w:p>
        </w:tc>
        <w:tc>
          <w:tcPr>
            <w:tcW w:w="2837" w:type="dxa"/>
            <w:tcBorders>
              <w:top w:val="single" w:sz="4" w:space="0" w:color="auto"/>
              <w:left w:val="nil"/>
              <w:bottom w:val="single" w:sz="4" w:space="0" w:color="auto"/>
              <w:right w:val="single" w:sz="4" w:space="0" w:color="auto"/>
            </w:tcBorders>
            <w:shd w:val="clear" w:color="000000" w:fill="E2EFDA"/>
            <w:vAlign w:val="center"/>
            <w:hideMark/>
          </w:tcPr>
          <w:p w:rsidR="0054309C" w:rsidRPr="0054309C" w:rsidRDefault="0054309C" w:rsidP="0054309C">
            <w:pPr>
              <w:spacing w:after="0" w:line="240" w:lineRule="auto"/>
              <w:jc w:val="center"/>
              <w:rPr>
                <w:rFonts w:ascii="Calibri" w:eastAsia="Times New Roman" w:hAnsi="Calibri" w:cs="Calibri"/>
                <w:b/>
                <w:bCs/>
                <w:color w:val="000000"/>
                <w:sz w:val="20"/>
                <w:szCs w:val="20"/>
                <w:lang w:eastAsia="hr-HR"/>
              </w:rPr>
            </w:pPr>
            <w:r w:rsidRPr="0054309C">
              <w:rPr>
                <w:rFonts w:ascii="Calibri" w:eastAsia="Times New Roman" w:hAnsi="Calibri" w:cs="Calibri"/>
                <w:b/>
                <w:bCs/>
                <w:color w:val="000000"/>
                <w:sz w:val="20"/>
                <w:szCs w:val="20"/>
                <w:lang w:eastAsia="hr-HR"/>
              </w:rPr>
              <w:t>ISPLAĆENA SREDSTVA</w:t>
            </w:r>
            <w:r w:rsidRPr="0054309C">
              <w:rPr>
                <w:rFonts w:ascii="Calibri" w:eastAsia="Times New Roman" w:hAnsi="Calibri" w:cs="Calibri"/>
                <w:b/>
                <w:bCs/>
                <w:color w:val="000000"/>
                <w:sz w:val="20"/>
                <w:szCs w:val="20"/>
                <w:lang w:eastAsia="hr-HR"/>
              </w:rPr>
              <w:br/>
              <w:t>IZVOR 563</w:t>
            </w:r>
          </w:p>
        </w:tc>
      </w:tr>
      <w:tr w:rsidR="0054309C" w:rsidRPr="0054309C" w:rsidTr="00D826F3">
        <w:trPr>
          <w:trHeight w:val="525"/>
        </w:trPr>
        <w:tc>
          <w:tcPr>
            <w:tcW w:w="4480" w:type="dxa"/>
            <w:tcBorders>
              <w:top w:val="nil"/>
              <w:left w:val="single" w:sz="4" w:space="0" w:color="auto"/>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Program Konkurentnost i kohezija 2021. -2027.</w:t>
            </w:r>
          </w:p>
        </w:tc>
        <w:tc>
          <w:tcPr>
            <w:tcW w:w="1609"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90.711.184,00</w:t>
            </w:r>
          </w:p>
        </w:tc>
        <w:tc>
          <w:tcPr>
            <w:tcW w:w="2837" w:type="dxa"/>
            <w:tcBorders>
              <w:top w:val="nil"/>
              <w:left w:val="nil"/>
              <w:bottom w:val="single" w:sz="4" w:space="0" w:color="auto"/>
              <w:right w:val="single" w:sz="4" w:space="0" w:color="auto"/>
            </w:tcBorders>
            <w:shd w:val="clear" w:color="auto" w:fill="auto"/>
            <w:noWrap/>
            <w:vAlign w:val="bottom"/>
            <w:hideMark/>
          </w:tcPr>
          <w:p w:rsidR="0054309C" w:rsidRPr="0054309C" w:rsidRDefault="0054309C" w:rsidP="0054309C">
            <w:pPr>
              <w:spacing w:after="0" w:line="240" w:lineRule="auto"/>
              <w:jc w:val="right"/>
              <w:rPr>
                <w:rFonts w:ascii="Calibri" w:eastAsia="Times New Roman" w:hAnsi="Calibri" w:cs="Calibri"/>
                <w:color w:val="000000"/>
                <w:sz w:val="20"/>
                <w:szCs w:val="20"/>
                <w:lang w:eastAsia="hr-HR"/>
              </w:rPr>
            </w:pPr>
            <w:r w:rsidRPr="0054309C">
              <w:rPr>
                <w:rFonts w:ascii="Calibri" w:eastAsia="Times New Roman" w:hAnsi="Calibri" w:cs="Calibri"/>
                <w:color w:val="000000"/>
                <w:sz w:val="20"/>
                <w:szCs w:val="20"/>
                <w:lang w:eastAsia="hr-HR"/>
              </w:rPr>
              <w:t>51.084.719,41</w:t>
            </w:r>
          </w:p>
        </w:tc>
      </w:tr>
    </w:tbl>
    <w:p w:rsidR="0054309C" w:rsidRPr="0054309C" w:rsidRDefault="0054309C" w:rsidP="0054309C">
      <w:pPr>
        <w:spacing w:after="0" w:line="240" w:lineRule="auto"/>
        <w:jc w:val="both"/>
        <w:rPr>
          <w:rFonts w:ascii="Times New Roman" w:hAnsi="Times New Roman" w:cs="Times New Roman"/>
          <w:sz w:val="24"/>
          <w:szCs w:val="24"/>
        </w:rPr>
      </w:pPr>
    </w:p>
    <w:p w:rsidR="00A32477" w:rsidRDefault="00A32477" w:rsidP="0054309C">
      <w:pPr>
        <w:jc w:val="both"/>
        <w:rPr>
          <w:rFonts w:ascii="Times New Roman" w:hAnsi="Times New Roman" w:cs="Times New Roman"/>
          <w:b/>
          <w:sz w:val="24"/>
          <w:szCs w:val="24"/>
        </w:rPr>
      </w:pPr>
    </w:p>
    <w:p w:rsidR="0054309C" w:rsidRPr="0054309C" w:rsidRDefault="0054309C" w:rsidP="0054309C">
      <w:pPr>
        <w:jc w:val="both"/>
        <w:rPr>
          <w:rFonts w:ascii="Times New Roman" w:hAnsi="Times New Roman" w:cs="Times New Roman"/>
          <w:b/>
          <w:sz w:val="24"/>
          <w:szCs w:val="24"/>
        </w:rPr>
      </w:pPr>
      <w:r w:rsidRPr="0054309C">
        <w:rPr>
          <w:rFonts w:ascii="Times New Roman" w:hAnsi="Times New Roman" w:cs="Times New Roman"/>
          <w:b/>
          <w:sz w:val="24"/>
          <w:szCs w:val="24"/>
        </w:rPr>
        <w:lastRenderedPageBreak/>
        <w:t>A587058 - EUSAIR FACILITY POINT 2023-2029</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Za Projekt EUSAIR </w:t>
      </w:r>
      <w:proofErr w:type="spellStart"/>
      <w:r w:rsidRPr="0054309C">
        <w:rPr>
          <w:rFonts w:ascii="Times New Roman" w:hAnsi="Times New Roman" w:cs="Times New Roman"/>
          <w:sz w:val="24"/>
          <w:szCs w:val="24"/>
        </w:rPr>
        <w:t>Facility</w:t>
      </w:r>
      <w:proofErr w:type="spellEnd"/>
      <w:r w:rsidRPr="0054309C">
        <w:rPr>
          <w:rFonts w:ascii="Times New Roman" w:hAnsi="Times New Roman" w:cs="Times New Roman"/>
          <w:sz w:val="24"/>
          <w:szCs w:val="24"/>
        </w:rPr>
        <w:t xml:space="preserve"> </w:t>
      </w:r>
      <w:proofErr w:type="spellStart"/>
      <w:r w:rsidRPr="0054309C">
        <w:rPr>
          <w:rFonts w:ascii="Times New Roman" w:hAnsi="Times New Roman" w:cs="Times New Roman"/>
          <w:sz w:val="24"/>
          <w:szCs w:val="24"/>
        </w:rPr>
        <w:t>Point</w:t>
      </w:r>
      <w:proofErr w:type="spellEnd"/>
      <w:r w:rsidRPr="0054309C">
        <w:rPr>
          <w:rFonts w:ascii="Times New Roman" w:hAnsi="Times New Roman" w:cs="Times New Roman"/>
          <w:sz w:val="24"/>
          <w:szCs w:val="24"/>
        </w:rPr>
        <w:t xml:space="preserve"> – </w:t>
      </w:r>
      <w:proofErr w:type="spellStart"/>
      <w:r w:rsidRPr="0054309C">
        <w:rPr>
          <w:rFonts w:ascii="Times New Roman" w:hAnsi="Times New Roman" w:cs="Times New Roman"/>
          <w:sz w:val="24"/>
          <w:szCs w:val="24"/>
        </w:rPr>
        <w:t>Supporting</w:t>
      </w:r>
      <w:proofErr w:type="spellEnd"/>
      <w:r w:rsidRPr="0054309C">
        <w:rPr>
          <w:rFonts w:ascii="Times New Roman" w:hAnsi="Times New Roman" w:cs="Times New Roman"/>
          <w:sz w:val="24"/>
          <w:szCs w:val="24"/>
        </w:rPr>
        <w:t xml:space="preserve"> </w:t>
      </w:r>
      <w:proofErr w:type="spellStart"/>
      <w:r w:rsidRPr="0054309C">
        <w:rPr>
          <w:rFonts w:ascii="Times New Roman" w:hAnsi="Times New Roman" w:cs="Times New Roman"/>
          <w:sz w:val="24"/>
          <w:szCs w:val="24"/>
        </w:rPr>
        <w:t>the</w:t>
      </w:r>
      <w:proofErr w:type="spellEnd"/>
      <w:r w:rsidRPr="0054309C">
        <w:rPr>
          <w:rFonts w:ascii="Times New Roman" w:hAnsi="Times New Roman" w:cs="Times New Roman"/>
          <w:sz w:val="24"/>
          <w:szCs w:val="24"/>
        </w:rPr>
        <w:t xml:space="preserve"> </w:t>
      </w:r>
      <w:proofErr w:type="spellStart"/>
      <w:r w:rsidRPr="0054309C">
        <w:rPr>
          <w:rFonts w:ascii="Times New Roman" w:hAnsi="Times New Roman" w:cs="Times New Roman"/>
          <w:sz w:val="24"/>
          <w:szCs w:val="24"/>
        </w:rPr>
        <w:t>Governance</w:t>
      </w:r>
      <w:proofErr w:type="spellEnd"/>
      <w:r w:rsidRPr="0054309C">
        <w:rPr>
          <w:rFonts w:ascii="Times New Roman" w:hAnsi="Times New Roman" w:cs="Times New Roman"/>
          <w:sz w:val="24"/>
          <w:szCs w:val="24"/>
        </w:rPr>
        <w:t xml:space="preserve"> </w:t>
      </w:r>
      <w:proofErr w:type="spellStart"/>
      <w:r w:rsidRPr="0054309C">
        <w:rPr>
          <w:rFonts w:ascii="Times New Roman" w:hAnsi="Times New Roman" w:cs="Times New Roman"/>
          <w:sz w:val="24"/>
          <w:szCs w:val="24"/>
        </w:rPr>
        <w:t>of</w:t>
      </w:r>
      <w:proofErr w:type="spellEnd"/>
      <w:r w:rsidRPr="0054309C">
        <w:rPr>
          <w:rFonts w:ascii="Times New Roman" w:hAnsi="Times New Roman" w:cs="Times New Roman"/>
          <w:sz w:val="24"/>
          <w:szCs w:val="24"/>
        </w:rPr>
        <w:t xml:space="preserve"> </w:t>
      </w:r>
      <w:proofErr w:type="spellStart"/>
      <w:r w:rsidRPr="0054309C">
        <w:rPr>
          <w:rFonts w:ascii="Times New Roman" w:hAnsi="Times New Roman" w:cs="Times New Roman"/>
          <w:sz w:val="24"/>
          <w:szCs w:val="24"/>
        </w:rPr>
        <w:t>the</w:t>
      </w:r>
      <w:proofErr w:type="spellEnd"/>
      <w:r w:rsidRPr="0054309C">
        <w:rPr>
          <w:rFonts w:ascii="Times New Roman" w:hAnsi="Times New Roman" w:cs="Times New Roman"/>
          <w:sz w:val="24"/>
          <w:szCs w:val="24"/>
        </w:rPr>
        <w:t xml:space="preserve"> EUSAIR, br. 815 (1.5.2016. – 31.10.2023.) – ukupno dodijeljena sredstva 1.462.050,00 EUR od toga je 219.308,00 EUR ili 15% nacionalno sufinanciranje – utrošeno je ukupno 1.446.834,22 EUR i svi troškovi su refundirani (zadnja uplata je bila u studenom 2024. u iznosu 143.430,04 EUR)</w:t>
      </w: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Projekt EUSAIR Strategije EUSAIR FACILITY POINT – </w:t>
      </w:r>
      <w:proofErr w:type="spellStart"/>
      <w:r w:rsidRPr="0054309C">
        <w:rPr>
          <w:rFonts w:ascii="Times New Roman" w:hAnsi="Times New Roman" w:cs="Times New Roman"/>
          <w:sz w:val="24"/>
          <w:szCs w:val="24"/>
        </w:rPr>
        <w:t>Supporting</w:t>
      </w:r>
      <w:proofErr w:type="spellEnd"/>
      <w:r w:rsidRPr="0054309C">
        <w:rPr>
          <w:rFonts w:ascii="Times New Roman" w:hAnsi="Times New Roman" w:cs="Times New Roman"/>
          <w:sz w:val="24"/>
          <w:szCs w:val="24"/>
        </w:rPr>
        <w:t xml:space="preserve"> </w:t>
      </w:r>
      <w:proofErr w:type="spellStart"/>
      <w:r w:rsidRPr="0054309C">
        <w:rPr>
          <w:rFonts w:ascii="Times New Roman" w:hAnsi="Times New Roman" w:cs="Times New Roman"/>
          <w:sz w:val="24"/>
          <w:szCs w:val="24"/>
        </w:rPr>
        <w:t>the</w:t>
      </w:r>
      <w:proofErr w:type="spellEnd"/>
      <w:r w:rsidRPr="0054309C">
        <w:rPr>
          <w:rFonts w:ascii="Times New Roman" w:hAnsi="Times New Roman" w:cs="Times New Roman"/>
          <w:sz w:val="24"/>
          <w:szCs w:val="24"/>
        </w:rPr>
        <w:t xml:space="preserve"> EUSAIR </w:t>
      </w:r>
      <w:proofErr w:type="spellStart"/>
      <w:r w:rsidRPr="0054309C">
        <w:rPr>
          <w:rFonts w:ascii="Times New Roman" w:hAnsi="Times New Roman" w:cs="Times New Roman"/>
          <w:sz w:val="24"/>
          <w:szCs w:val="24"/>
        </w:rPr>
        <w:t>governance</w:t>
      </w:r>
      <w:proofErr w:type="spellEnd"/>
      <w:r w:rsidRPr="0054309C">
        <w:rPr>
          <w:rFonts w:ascii="Times New Roman" w:hAnsi="Times New Roman" w:cs="Times New Roman"/>
          <w:sz w:val="24"/>
          <w:szCs w:val="24"/>
        </w:rPr>
        <w:t xml:space="preserve"> for </w:t>
      </w:r>
      <w:proofErr w:type="spellStart"/>
      <w:r w:rsidRPr="0054309C">
        <w:rPr>
          <w:rFonts w:ascii="Times New Roman" w:hAnsi="Times New Roman" w:cs="Times New Roman"/>
          <w:sz w:val="24"/>
          <w:szCs w:val="24"/>
        </w:rPr>
        <w:t>improved</w:t>
      </w:r>
      <w:proofErr w:type="spellEnd"/>
      <w:r w:rsidRPr="0054309C">
        <w:rPr>
          <w:rFonts w:ascii="Times New Roman" w:hAnsi="Times New Roman" w:cs="Times New Roman"/>
          <w:sz w:val="24"/>
          <w:szCs w:val="24"/>
        </w:rPr>
        <w:t xml:space="preserve"> </w:t>
      </w:r>
      <w:proofErr w:type="spellStart"/>
      <w:r w:rsidRPr="0054309C">
        <w:rPr>
          <w:rFonts w:ascii="Times New Roman" w:hAnsi="Times New Roman" w:cs="Times New Roman"/>
          <w:sz w:val="24"/>
          <w:szCs w:val="24"/>
        </w:rPr>
        <w:t>cooperation</w:t>
      </w:r>
      <w:proofErr w:type="spellEnd"/>
      <w:r w:rsidRPr="0054309C">
        <w:rPr>
          <w:rFonts w:ascii="Times New Roman" w:hAnsi="Times New Roman" w:cs="Times New Roman"/>
          <w:sz w:val="24"/>
          <w:szCs w:val="24"/>
        </w:rPr>
        <w:t xml:space="preserve"> 2023-2027, br. 537 – trajanje projekta 1.9.2023. – 31.12.2027.; ukupna vrijednost projekta je 7.872.900,00 EUR (11 partnera) od čega je Ministarstvu turizma i sporta dodijeljeno  804.100,00 EUR uz 15% nacionalnog doprinosa. Uplate/refundacije još nije bilo ali je MINTS kroz dva izvješća o napretku prijavilo troškove u iznosu 174.565,83 EUR.</w:t>
      </w:r>
    </w:p>
    <w:p w:rsidR="0054309C" w:rsidRPr="0054309C" w:rsidRDefault="0054309C" w:rsidP="0054309C">
      <w:pPr>
        <w:jc w:val="both"/>
        <w:rPr>
          <w:rFonts w:ascii="Times New Roman" w:hAnsi="Times New Roman" w:cs="Times New Roman"/>
          <w:b/>
          <w:sz w:val="24"/>
          <w:szCs w:val="24"/>
        </w:rPr>
      </w:pPr>
    </w:p>
    <w:p w:rsidR="0054309C" w:rsidRPr="0054309C" w:rsidRDefault="0054309C" w:rsidP="0054309C">
      <w:pPr>
        <w:jc w:val="both"/>
        <w:rPr>
          <w:rFonts w:ascii="Times New Roman" w:hAnsi="Times New Roman" w:cs="Times New Roman"/>
          <w:b/>
          <w:sz w:val="24"/>
          <w:szCs w:val="24"/>
        </w:rPr>
      </w:pPr>
      <w:r w:rsidRPr="0054309C">
        <w:rPr>
          <w:rFonts w:ascii="Times New Roman" w:hAnsi="Times New Roman" w:cs="Times New Roman"/>
          <w:b/>
          <w:sz w:val="24"/>
          <w:szCs w:val="24"/>
        </w:rPr>
        <w:t>A916011 – EUROPSKI TJEDAN SPORTA</w:t>
      </w:r>
    </w:p>
    <w:p w:rsidR="0054309C" w:rsidRPr="0054309C" w:rsidRDefault="0054309C" w:rsidP="0054309C">
      <w:pPr>
        <w:jc w:val="both"/>
        <w:rPr>
          <w:rFonts w:ascii="Times New Roman" w:hAnsi="Times New Roman" w:cs="Times New Roman"/>
          <w:sz w:val="24"/>
          <w:szCs w:val="24"/>
          <w:lang w:eastAsia="hr-HR"/>
        </w:rPr>
      </w:pPr>
      <w:r w:rsidRPr="0054309C">
        <w:rPr>
          <w:rFonts w:ascii="Times New Roman" w:hAnsi="Times New Roman" w:cs="Times New Roman"/>
          <w:sz w:val="24"/>
          <w:szCs w:val="24"/>
          <w:lang w:eastAsia="hr-HR"/>
        </w:rPr>
        <w:t xml:space="preserve">Europski tjedan sporta je inicijativa Europske komisije koji se održava svake godine u isto vrijeme, </w:t>
      </w:r>
      <w:r w:rsidRPr="0054309C">
        <w:rPr>
          <w:rFonts w:ascii="Times New Roman" w:hAnsi="Times New Roman" w:cs="Times New Roman"/>
          <w:bCs/>
          <w:sz w:val="24"/>
          <w:szCs w:val="24"/>
          <w:lang w:eastAsia="hr-HR"/>
        </w:rPr>
        <w:t>od 23. do 30. rujna</w:t>
      </w:r>
      <w:r w:rsidRPr="0054309C">
        <w:rPr>
          <w:rFonts w:ascii="Times New Roman" w:hAnsi="Times New Roman" w:cs="Times New Roman"/>
          <w:sz w:val="24"/>
          <w:szCs w:val="24"/>
          <w:lang w:eastAsia="hr-HR"/>
        </w:rPr>
        <w:t xml:space="preserve">. Projekt pod nazivom Europski tjedan sporta je dio programa </w:t>
      </w:r>
      <w:proofErr w:type="spellStart"/>
      <w:r w:rsidRPr="0054309C">
        <w:rPr>
          <w:rFonts w:ascii="Times New Roman" w:hAnsi="Times New Roman" w:cs="Times New Roman"/>
          <w:sz w:val="24"/>
          <w:szCs w:val="24"/>
          <w:lang w:eastAsia="hr-HR"/>
        </w:rPr>
        <w:t>Erasmus</w:t>
      </w:r>
      <w:proofErr w:type="spellEnd"/>
      <w:r w:rsidRPr="0054309C">
        <w:rPr>
          <w:rFonts w:ascii="Times New Roman" w:hAnsi="Times New Roman" w:cs="Times New Roman"/>
          <w:sz w:val="24"/>
          <w:szCs w:val="24"/>
          <w:lang w:eastAsia="hr-HR"/>
        </w:rPr>
        <w:t xml:space="preserve">+ Sport. Ministarstvo turizma i sporta kao nacionalni koordinator Europskog tjedna sporta za RH na poziv Europske komisije, u prosincu 2021. godine prijavilo je Grant za organizaciju projektnih aktivnosti za razdoblje od 24 mjeseca koji nam je odobren u ukopnom iznosu od 320.000,00 eura.  U Izvještajnom razdoblju na snazi je bio  Grant od 1. lipnja 2022. godine do 31. svibnja 2024. godine, a prethodni je Grant završio 31. svibnja 2022. </w:t>
      </w:r>
    </w:p>
    <w:p w:rsidR="0054309C" w:rsidRPr="0054309C" w:rsidRDefault="0054309C" w:rsidP="0054309C">
      <w:pPr>
        <w:jc w:val="both"/>
        <w:rPr>
          <w:rFonts w:ascii="Times New Roman" w:hAnsi="Times New Roman" w:cs="Times New Roman"/>
          <w:sz w:val="24"/>
          <w:szCs w:val="24"/>
          <w:lang w:eastAsia="hr-HR"/>
        </w:rPr>
      </w:pPr>
      <w:r w:rsidRPr="0054309C">
        <w:rPr>
          <w:rFonts w:ascii="Times New Roman" w:hAnsi="Times New Roman" w:cs="Times New Roman"/>
          <w:sz w:val="24"/>
          <w:szCs w:val="24"/>
          <w:lang w:eastAsia="hr-HR"/>
        </w:rPr>
        <w:t>Sukladno odobrenom Grantu i prijavljenom Akcijskom planu i budžetu Europska komisija uplatila je 160.000,00 eura za organizaciju projektnih aktivnosti u razdoblju od 1.6. 2022. - 31. 5. 2023.  Za razdoblje od 1. 6. 2023. do 31. 5. 2024. Europska komisija uplatila je 128.000, 00 eura, odnosno 40% od odobrenih sredstava te nakon podnošenja završnog izvješća EK je uplatila i preostali iznos od 32.000,00 EUR. Tijekom projektnog razdoblja organizirana su događanja i aktivnosti s ciljem podizanja svijesti o važnosti tjelesne aktivnosti i bavljenja sportom u svakodnevnom životu. Kroz ovu aktivnost financirali su se svi troškovi koji su nastali kroz provedbu aktivnosti prijavljenih Akcijskim planom te odobrenim od Europske komisije.</w:t>
      </w:r>
    </w:p>
    <w:p w:rsidR="0054309C" w:rsidRPr="0054309C" w:rsidRDefault="0054309C" w:rsidP="0054309C">
      <w:pPr>
        <w:jc w:val="both"/>
        <w:rPr>
          <w:rFonts w:ascii="Times New Roman" w:hAnsi="Times New Roman" w:cs="Times New Roman"/>
          <w:sz w:val="24"/>
          <w:szCs w:val="24"/>
          <w:lang w:eastAsia="hr-HR"/>
        </w:rPr>
      </w:pPr>
      <w:r w:rsidRPr="0054309C">
        <w:rPr>
          <w:rFonts w:ascii="Times New Roman" w:hAnsi="Times New Roman" w:cs="Times New Roman"/>
          <w:sz w:val="24"/>
          <w:szCs w:val="24"/>
          <w:lang w:eastAsia="hr-HR"/>
        </w:rPr>
        <w:t>U siječnju 2024. godine Ministarstvo turizma i sporta, na poziv Europske komisije, prijavilo je novi Grant za organizaciju projektnih aktivnosti za razdoblje od 20 mjeseci koji je i odobren u iznosu od 320.000,00 eura tako da je trenutno na snazi Grant od 1. lipnja 2024. godine do 31. siječnja 2026. godine. Sukladno odobrenom Grantu i prijavljenom Akcijskom planu i budžetu Europska komisija uplatila je 160.000,00 eura za organizaciju projektnih aktivnosti u razdoblju od 1.6.2024. – 1.2. 2025. Tijekom projektnog razdoblja organizirana su događanja i aktivnosti s ciljem podizanja svijesti o važnosti tjelesne aktivnosti i bavljenja sportom u svakodnevnom životu. Kroz ovu aktivnost financirali su se svi troškovi koji su nastali kroz provedbu aktivnosti prijavljenih Akcijskim planom te odobrenim od Europske komisije.</w:t>
      </w:r>
    </w:p>
    <w:p w:rsidR="0054309C" w:rsidRPr="0054309C" w:rsidRDefault="0054309C" w:rsidP="0054309C">
      <w:pPr>
        <w:jc w:val="both"/>
        <w:rPr>
          <w:rFonts w:ascii="Times New Roman" w:hAnsi="Times New Roman" w:cs="Times New Roman"/>
          <w:bCs/>
          <w:sz w:val="24"/>
          <w:szCs w:val="24"/>
          <w:lang w:eastAsia="hr-HR"/>
        </w:rPr>
      </w:pPr>
      <w:r w:rsidRPr="0054309C">
        <w:rPr>
          <w:rFonts w:ascii="Times New Roman" w:hAnsi="Times New Roman" w:cs="Times New Roman"/>
          <w:sz w:val="24"/>
          <w:szCs w:val="24"/>
          <w:lang w:eastAsia="hr-HR"/>
        </w:rPr>
        <w:t xml:space="preserve">Za potrebe Projekta otvoren je tekući projekt u čije ostvarenje su uključena i sredstva iz </w:t>
      </w:r>
      <w:r w:rsidRPr="0054309C">
        <w:rPr>
          <w:rFonts w:ascii="Times New Roman" w:hAnsi="Times New Roman" w:cs="Times New Roman"/>
          <w:bCs/>
          <w:sz w:val="24"/>
          <w:szCs w:val="24"/>
          <w:lang w:eastAsia="hr-HR"/>
        </w:rPr>
        <w:t>Državnog proračuna na izvoru 12. Sufinanciranje projekta iz Državnog proračuna iznosi 43.533,00 eura.</w:t>
      </w:r>
    </w:p>
    <w:p w:rsidR="0054309C" w:rsidRPr="0054309C" w:rsidRDefault="0054309C" w:rsidP="0054309C">
      <w:pPr>
        <w:jc w:val="both"/>
        <w:rPr>
          <w:rFonts w:ascii="Times New Roman" w:hAnsi="Times New Roman" w:cs="Times New Roman"/>
          <w:sz w:val="24"/>
          <w:szCs w:val="24"/>
        </w:rPr>
      </w:pPr>
    </w:p>
    <w:p w:rsidR="0054309C" w:rsidRPr="0054309C" w:rsidRDefault="0054309C" w:rsidP="0054309C">
      <w:pPr>
        <w:numPr>
          <w:ilvl w:val="0"/>
          <w:numId w:val="7"/>
        </w:numPr>
        <w:spacing w:after="0" w:line="240" w:lineRule="auto"/>
        <w:contextualSpacing/>
        <w:jc w:val="both"/>
        <w:rPr>
          <w:rFonts w:ascii="Times New Roman" w:hAnsi="Times New Roman" w:cs="Times New Roman"/>
          <w:b/>
          <w:sz w:val="24"/>
          <w:szCs w:val="24"/>
        </w:rPr>
      </w:pPr>
      <w:r w:rsidRPr="0054309C">
        <w:rPr>
          <w:rFonts w:ascii="Times New Roman" w:hAnsi="Times New Roman" w:cs="Times New Roman"/>
          <w:b/>
          <w:sz w:val="24"/>
          <w:szCs w:val="24"/>
        </w:rPr>
        <w:lastRenderedPageBreak/>
        <w:t>Izvještaj o danim zajmovima i potraživanjima po danim zajmovima</w:t>
      </w:r>
    </w:p>
    <w:p w:rsidR="0054309C" w:rsidRPr="0054309C" w:rsidRDefault="0054309C" w:rsidP="0054309C">
      <w:pPr>
        <w:ind w:left="720"/>
        <w:contextualSpacing/>
        <w:jc w:val="both"/>
        <w:rPr>
          <w:rFonts w:ascii="Times New Roman" w:hAnsi="Times New Roman" w:cs="Times New Roman"/>
          <w:b/>
          <w:sz w:val="24"/>
          <w:szCs w:val="24"/>
        </w:rPr>
      </w:pP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Ministarstvo turizma i sporta nije davalo, ugovaralo zajmove stoga nema izvještaja po toj osnovi.</w:t>
      </w: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 xml:space="preserve">HBOR-u je 25. studenog 2024. isplaćena 1. tranša u iznosu 51.084.719,41 euro (30% programskog doprinosa) sukladno zahtjevu za plaćanje za financijski instrument PK.1.3.02.0001 Krediti za održivi turizam. </w:t>
      </w:r>
    </w:p>
    <w:p w:rsidR="0054309C" w:rsidRPr="0054309C" w:rsidRDefault="0054309C" w:rsidP="0054309C">
      <w:pPr>
        <w:spacing w:after="0" w:line="240" w:lineRule="auto"/>
        <w:jc w:val="both"/>
        <w:rPr>
          <w:rFonts w:ascii="Times New Roman" w:hAnsi="Times New Roman" w:cs="Times New Roman"/>
          <w:sz w:val="24"/>
          <w:szCs w:val="24"/>
        </w:rPr>
      </w:pPr>
    </w:p>
    <w:p w:rsidR="0054309C" w:rsidRPr="0054309C" w:rsidRDefault="0054309C" w:rsidP="0054309C">
      <w:pPr>
        <w:spacing w:after="0" w:line="240" w:lineRule="auto"/>
        <w:jc w:val="both"/>
        <w:rPr>
          <w:rFonts w:ascii="Times New Roman" w:hAnsi="Times New Roman" w:cs="Times New Roman"/>
          <w:sz w:val="24"/>
          <w:szCs w:val="24"/>
        </w:rPr>
      </w:pPr>
      <w:r w:rsidRPr="0054309C">
        <w:rPr>
          <w:rFonts w:ascii="Times New Roman" w:hAnsi="Times New Roman" w:cs="Times New Roman"/>
          <w:sz w:val="24"/>
          <w:szCs w:val="24"/>
        </w:rPr>
        <w:t>Do kraja 2024. godine je zaprimljeno kreditnih zahtjeva u iznosu 125.183.797,00 eura te su svi u fazi obrade. Prva odobrenja na tijelima odlučivanja HBOR-a očekuju se u prvom kvartalu 2025. godine.</w:t>
      </w:r>
    </w:p>
    <w:p w:rsidR="0054309C" w:rsidRPr="0054309C" w:rsidRDefault="0054309C" w:rsidP="0054309C">
      <w:pPr>
        <w:jc w:val="both"/>
        <w:rPr>
          <w:rFonts w:ascii="Times New Roman" w:hAnsi="Times New Roman" w:cs="Times New Roman"/>
          <w:sz w:val="24"/>
          <w:szCs w:val="24"/>
        </w:rPr>
      </w:pPr>
    </w:p>
    <w:p w:rsidR="0054309C" w:rsidRPr="0054309C" w:rsidRDefault="0054309C" w:rsidP="0054309C">
      <w:pPr>
        <w:numPr>
          <w:ilvl w:val="0"/>
          <w:numId w:val="7"/>
        </w:numPr>
        <w:spacing w:after="0" w:line="240" w:lineRule="auto"/>
        <w:contextualSpacing/>
        <w:jc w:val="both"/>
        <w:rPr>
          <w:rFonts w:ascii="Times New Roman" w:hAnsi="Times New Roman" w:cs="Times New Roman"/>
          <w:b/>
          <w:color w:val="000000" w:themeColor="text1"/>
          <w:sz w:val="24"/>
          <w:szCs w:val="24"/>
        </w:rPr>
      </w:pPr>
      <w:r w:rsidRPr="0054309C">
        <w:rPr>
          <w:rFonts w:ascii="Times New Roman" w:hAnsi="Times New Roman" w:cs="Times New Roman"/>
          <w:b/>
          <w:color w:val="000000" w:themeColor="text1"/>
          <w:sz w:val="24"/>
          <w:szCs w:val="24"/>
        </w:rPr>
        <w:t>Izvještaj o stanju potraživanja i dospjelih obveza te o stanju potencijalnih obveza po osnovi sudskih sporova</w:t>
      </w:r>
    </w:p>
    <w:p w:rsidR="0054309C" w:rsidRPr="0054309C" w:rsidRDefault="0054309C" w:rsidP="0054309C">
      <w:pPr>
        <w:ind w:left="720"/>
        <w:contextualSpacing/>
        <w:jc w:val="both"/>
        <w:rPr>
          <w:rFonts w:ascii="Times New Roman" w:hAnsi="Times New Roman" w:cs="Times New Roman"/>
          <w:b/>
          <w:color w:val="000000" w:themeColor="text1"/>
          <w:sz w:val="24"/>
          <w:szCs w:val="24"/>
        </w:rPr>
      </w:pPr>
    </w:p>
    <w:p w:rsidR="0054309C" w:rsidRPr="0054309C" w:rsidRDefault="0054309C" w:rsidP="0054309C">
      <w:pPr>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 xml:space="preserve">Potraživanja za prihode proračuna u izvještajnom razdoblju iznose 92.569.879,81 eura. Nenaplaćena potraživanja odnose se na potraživanja za naknade koje se refundiraju i predujmove, potraživanja za bolovanja u iznosu od 60.261,98 eura, ostala potraživanja u iznosu od 1.087.541,69 eura, a odnose se na potraživanja od partnera zbog neispunjenja ugovornih obveza od stipendija za turizam, potraživanja od projekta. Potraživanja za zajmove kreditnim i ostalim financijskim institucijama u javnom sektoru u iznosu od 51.084.719,41 euro. </w:t>
      </w:r>
    </w:p>
    <w:p w:rsidR="0054309C" w:rsidRPr="0054309C" w:rsidRDefault="0054309C" w:rsidP="0054309C">
      <w:pPr>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 xml:space="preserve">Naplaćeni prihodi u izvještajnom razdoblju iznose 40.337.356,73 eura, a odnose se na prihode od zakupa turističkog zemljišta u iznosu od 30.815.721,48 eura, potraživanja od </w:t>
      </w:r>
      <w:proofErr w:type="spellStart"/>
      <w:r w:rsidRPr="0054309C">
        <w:rPr>
          <w:rFonts w:ascii="Times New Roman" w:hAnsi="Times New Roman" w:cs="Times New Roman"/>
          <w:color w:val="000000" w:themeColor="text1"/>
          <w:sz w:val="24"/>
          <w:szCs w:val="24"/>
        </w:rPr>
        <w:t>jamčevnih</w:t>
      </w:r>
      <w:proofErr w:type="spellEnd"/>
      <w:r w:rsidRPr="0054309C">
        <w:rPr>
          <w:rFonts w:ascii="Times New Roman" w:hAnsi="Times New Roman" w:cs="Times New Roman"/>
          <w:color w:val="000000" w:themeColor="text1"/>
          <w:sz w:val="24"/>
          <w:szCs w:val="24"/>
        </w:rPr>
        <w:t xml:space="preserve"> prihoda u iznosu od 57.895,71 eura te prihoda od igara na sreću u iznosu od 9.463.739,54 eura.  </w:t>
      </w:r>
    </w:p>
    <w:p w:rsidR="0054309C" w:rsidRPr="0054309C" w:rsidRDefault="0054309C" w:rsidP="0054309C">
      <w:pPr>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 xml:space="preserve">Nepodmirene dospjele obveze u izvještajnom razdoblju iznose 1.299.279,40 eura a odnose se na obveze za bolovanje na teret zdravstvenih zavoda, obveze za kamate, obveze za stipendije, obveze za poticaje. </w:t>
      </w:r>
    </w:p>
    <w:p w:rsidR="0054309C" w:rsidRPr="0054309C" w:rsidRDefault="0054309C" w:rsidP="0054309C">
      <w:pPr>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 xml:space="preserve">Nedospjele obveze iznose 5.160.846,49 eura a odnose se na obveze za zaposlene, obveze za materijalne rashode, ostale tekuće obveze.  </w:t>
      </w:r>
    </w:p>
    <w:p w:rsidR="0054309C" w:rsidRPr="0054309C" w:rsidRDefault="0054309C" w:rsidP="0054309C">
      <w:pPr>
        <w:jc w:val="both"/>
        <w:rPr>
          <w:rFonts w:ascii="Times New Roman" w:hAnsi="Times New Roman" w:cs="Times New Roman"/>
          <w:color w:val="000000" w:themeColor="text1"/>
          <w:sz w:val="24"/>
          <w:szCs w:val="24"/>
        </w:rPr>
      </w:pPr>
      <w:r w:rsidRPr="0054309C">
        <w:rPr>
          <w:rFonts w:ascii="Times New Roman" w:hAnsi="Times New Roman" w:cs="Times New Roman"/>
          <w:color w:val="000000" w:themeColor="text1"/>
          <w:sz w:val="24"/>
          <w:szCs w:val="24"/>
        </w:rPr>
        <w:t xml:space="preserve">Stanje potencijalnih obveza po osnovi sudskih sporova proračuna u izvještajnom razdoblju u </w:t>
      </w:r>
      <w:proofErr w:type="spellStart"/>
      <w:r w:rsidRPr="0054309C">
        <w:rPr>
          <w:rFonts w:ascii="Times New Roman" w:hAnsi="Times New Roman" w:cs="Times New Roman"/>
          <w:color w:val="000000" w:themeColor="text1"/>
          <w:sz w:val="24"/>
          <w:szCs w:val="24"/>
        </w:rPr>
        <w:t>izvanbilančnim</w:t>
      </w:r>
      <w:proofErr w:type="spellEnd"/>
      <w:r w:rsidRPr="0054309C">
        <w:rPr>
          <w:rFonts w:ascii="Times New Roman" w:hAnsi="Times New Roman" w:cs="Times New Roman"/>
          <w:color w:val="000000" w:themeColor="text1"/>
          <w:sz w:val="24"/>
          <w:szCs w:val="24"/>
        </w:rPr>
        <w:t xml:space="preserve"> evidencijama evidentiran je iznos od 142.221,05 eura.</w:t>
      </w:r>
    </w:p>
    <w:p w:rsidR="0054309C" w:rsidRPr="0054309C" w:rsidRDefault="0054309C" w:rsidP="0054309C">
      <w:pPr>
        <w:numPr>
          <w:ilvl w:val="0"/>
          <w:numId w:val="7"/>
        </w:numPr>
        <w:spacing w:after="0" w:line="240" w:lineRule="auto"/>
        <w:contextualSpacing/>
        <w:jc w:val="both"/>
        <w:rPr>
          <w:rFonts w:ascii="Times New Roman" w:hAnsi="Times New Roman" w:cs="Times New Roman"/>
          <w:b/>
          <w:sz w:val="24"/>
          <w:szCs w:val="24"/>
        </w:rPr>
      </w:pPr>
      <w:r w:rsidRPr="0054309C">
        <w:rPr>
          <w:rFonts w:ascii="Times New Roman" w:hAnsi="Times New Roman" w:cs="Times New Roman"/>
          <w:b/>
          <w:sz w:val="24"/>
          <w:szCs w:val="24"/>
        </w:rPr>
        <w:t>Izvještaj o danim jamstvima i plaćanjima po protestiranim jamstvima</w:t>
      </w:r>
    </w:p>
    <w:p w:rsidR="0054309C" w:rsidRPr="0054309C" w:rsidRDefault="0054309C" w:rsidP="0054309C">
      <w:pPr>
        <w:ind w:left="720"/>
        <w:contextualSpacing/>
        <w:jc w:val="both"/>
        <w:rPr>
          <w:rFonts w:ascii="Times New Roman" w:hAnsi="Times New Roman" w:cs="Times New Roman"/>
          <w:b/>
          <w:sz w:val="24"/>
          <w:szCs w:val="24"/>
        </w:rPr>
      </w:pPr>
    </w:p>
    <w:p w:rsidR="0054309C" w:rsidRPr="0054309C" w:rsidRDefault="0054309C" w:rsidP="0054309C">
      <w:pPr>
        <w:jc w:val="both"/>
        <w:rPr>
          <w:rFonts w:ascii="Times New Roman" w:hAnsi="Times New Roman" w:cs="Times New Roman"/>
          <w:sz w:val="24"/>
          <w:szCs w:val="24"/>
        </w:rPr>
      </w:pPr>
      <w:r w:rsidRPr="0054309C">
        <w:rPr>
          <w:rFonts w:ascii="Times New Roman" w:hAnsi="Times New Roman" w:cs="Times New Roman"/>
          <w:sz w:val="24"/>
          <w:szCs w:val="24"/>
        </w:rPr>
        <w:t xml:space="preserve">Mjera pomoći poduzetnicima sektora turizma i sporta uslijed krize uzrokovane </w:t>
      </w:r>
      <w:proofErr w:type="spellStart"/>
      <w:r w:rsidRPr="0054309C">
        <w:rPr>
          <w:rFonts w:ascii="Times New Roman" w:hAnsi="Times New Roman" w:cs="Times New Roman"/>
          <w:sz w:val="24"/>
          <w:szCs w:val="24"/>
        </w:rPr>
        <w:t>pandemijom</w:t>
      </w:r>
      <w:proofErr w:type="spellEnd"/>
      <w:r w:rsidRPr="0054309C">
        <w:rPr>
          <w:rFonts w:ascii="Times New Roman" w:hAnsi="Times New Roman" w:cs="Times New Roman"/>
          <w:sz w:val="24"/>
          <w:szCs w:val="24"/>
        </w:rPr>
        <w:t xml:space="preserve"> virusa COVID-19 provodi se nadoknađivanjem manjka likvidnosti poduzetnicima sektora turizma i sporta kroz omogućavanje pristupa financijskim sredstvima, radi osiguranja opstanka te očuvanje zaposlenosti. Provedba je osigurana u suradnji HAMAG_BICRO i HBOR kroz Program dodjele državnih potpora sektoru turizma i sporta u aktualnoj </w:t>
      </w:r>
      <w:proofErr w:type="spellStart"/>
      <w:r w:rsidRPr="0054309C">
        <w:rPr>
          <w:rFonts w:ascii="Times New Roman" w:hAnsi="Times New Roman" w:cs="Times New Roman"/>
          <w:sz w:val="24"/>
          <w:szCs w:val="24"/>
        </w:rPr>
        <w:t>pandemiji</w:t>
      </w:r>
      <w:proofErr w:type="spellEnd"/>
      <w:r w:rsidRPr="0054309C">
        <w:rPr>
          <w:rFonts w:ascii="Times New Roman" w:hAnsi="Times New Roman" w:cs="Times New Roman"/>
          <w:sz w:val="24"/>
          <w:szCs w:val="24"/>
        </w:rPr>
        <w:t xml:space="preserve"> COVID-19 – jamstva, s namjenom izdavanja državnih jamstava u ime i za račun Republike Hrvatske za nove kredite za likvidnost i/ili kredite za ulaganja u svrhu pripreme turističke sezone za rješavanje problema izazvanih krizom kao posljedicom </w:t>
      </w:r>
      <w:proofErr w:type="spellStart"/>
      <w:r w:rsidRPr="0054309C">
        <w:rPr>
          <w:rFonts w:ascii="Times New Roman" w:hAnsi="Times New Roman" w:cs="Times New Roman"/>
          <w:sz w:val="24"/>
          <w:szCs w:val="24"/>
        </w:rPr>
        <w:t>pandemije</w:t>
      </w:r>
      <w:proofErr w:type="spellEnd"/>
      <w:r w:rsidRPr="0054309C">
        <w:rPr>
          <w:rFonts w:ascii="Times New Roman" w:hAnsi="Times New Roman" w:cs="Times New Roman"/>
          <w:sz w:val="24"/>
          <w:szCs w:val="24"/>
        </w:rPr>
        <w:t xml:space="preserve"> COVID-a 19.  </w:t>
      </w:r>
    </w:p>
    <w:sectPr w:rsidR="0054309C" w:rsidRPr="0054309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E615BE"/>
    <w:multiLevelType w:val="hybridMultilevel"/>
    <w:tmpl w:val="D452F59A"/>
    <w:lvl w:ilvl="0" w:tplc="6E4491D4">
      <w:start w:val="515"/>
      <w:numFmt w:val="bullet"/>
      <w:lvlText w:val="-"/>
      <w:lvlJc w:val="left"/>
      <w:pPr>
        <w:ind w:left="2160" w:hanging="360"/>
      </w:pPr>
      <w:rPr>
        <w:rFonts w:ascii="Times New Roman" w:eastAsia="Times New Roman" w:hAnsi="Times New Roman" w:cs="Times New Roman" w:hint="default"/>
      </w:rPr>
    </w:lvl>
    <w:lvl w:ilvl="1" w:tplc="EADA4598" w:tentative="1">
      <w:start w:val="1"/>
      <w:numFmt w:val="bullet"/>
      <w:lvlText w:val="o"/>
      <w:lvlJc w:val="left"/>
      <w:pPr>
        <w:ind w:left="2880" w:hanging="360"/>
      </w:pPr>
      <w:rPr>
        <w:rFonts w:ascii="Courier New" w:hAnsi="Courier New" w:cs="Courier New" w:hint="default"/>
      </w:rPr>
    </w:lvl>
    <w:lvl w:ilvl="2" w:tplc="60C251AA" w:tentative="1">
      <w:start w:val="1"/>
      <w:numFmt w:val="bullet"/>
      <w:lvlText w:val=""/>
      <w:lvlJc w:val="left"/>
      <w:pPr>
        <w:ind w:left="3600" w:hanging="360"/>
      </w:pPr>
      <w:rPr>
        <w:rFonts w:ascii="Wingdings" w:hAnsi="Wingdings" w:hint="default"/>
      </w:rPr>
    </w:lvl>
    <w:lvl w:ilvl="3" w:tplc="5552973A" w:tentative="1">
      <w:start w:val="1"/>
      <w:numFmt w:val="bullet"/>
      <w:lvlText w:val=""/>
      <w:lvlJc w:val="left"/>
      <w:pPr>
        <w:ind w:left="4320" w:hanging="360"/>
      </w:pPr>
      <w:rPr>
        <w:rFonts w:ascii="Symbol" w:hAnsi="Symbol" w:hint="default"/>
      </w:rPr>
    </w:lvl>
    <w:lvl w:ilvl="4" w:tplc="18469228" w:tentative="1">
      <w:start w:val="1"/>
      <w:numFmt w:val="bullet"/>
      <w:lvlText w:val="o"/>
      <w:lvlJc w:val="left"/>
      <w:pPr>
        <w:ind w:left="5040" w:hanging="360"/>
      </w:pPr>
      <w:rPr>
        <w:rFonts w:ascii="Courier New" w:hAnsi="Courier New" w:cs="Courier New" w:hint="default"/>
      </w:rPr>
    </w:lvl>
    <w:lvl w:ilvl="5" w:tplc="7BF84B96" w:tentative="1">
      <w:start w:val="1"/>
      <w:numFmt w:val="bullet"/>
      <w:lvlText w:val=""/>
      <w:lvlJc w:val="left"/>
      <w:pPr>
        <w:ind w:left="5760" w:hanging="360"/>
      </w:pPr>
      <w:rPr>
        <w:rFonts w:ascii="Wingdings" w:hAnsi="Wingdings" w:hint="default"/>
      </w:rPr>
    </w:lvl>
    <w:lvl w:ilvl="6" w:tplc="1346C03A" w:tentative="1">
      <w:start w:val="1"/>
      <w:numFmt w:val="bullet"/>
      <w:lvlText w:val=""/>
      <w:lvlJc w:val="left"/>
      <w:pPr>
        <w:ind w:left="6480" w:hanging="360"/>
      </w:pPr>
      <w:rPr>
        <w:rFonts w:ascii="Symbol" w:hAnsi="Symbol" w:hint="default"/>
      </w:rPr>
    </w:lvl>
    <w:lvl w:ilvl="7" w:tplc="EBC468B4" w:tentative="1">
      <w:start w:val="1"/>
      <w:numFmt w:val="bullet"/>
      <w:lvlText w:val="o"/>
      <w:lvlJc w:val="left"/>
      <w:pPr>
        <w:ind w:left="7200" w:hanging="360"/>
      </w:pPr>
      <w:rPr>
        <w:rFonts w:ascii="Courier New" w:hAnsi="Courier New" w:cs="Courier New" w:hint="default"/>
      </w:rPr>
    </w:lvl>
    <w:lvl w:ilvl="8" w:tplc="57CEFA28" w:tentative="1">
      <w:start w:val="1"/>
      <w:numFmt w:val="bullet"/>
      <w:lvlText w:val=""/>
      <w:lvlJc w:val="left"/>
      <w:pPr>
        <w:ind w:left="7920" w:hanging="360"/>
      </w:pPr>
      <w:rPr>
        <w:rFonts w:ascii="Wingdings" w:hAnsi="Wingdings" w:hint="default"/>
      </w:rPr>
    </w:lvl>
  </w:abstractNum>
  <w:abstractNum w:abstractNumId="1" w15:restartNumberingAfterBreak="0">
    <w:nsid w:val="153B1C27"/>
    <w:multiLevelType w:val="hybridMultilevel"/>
    <w:tmpl w:val="1C9610EC"/>
    <w:lvl w:ilvl="0" w:tplc="A790B130">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69F1893"/>
    <w:multiLevelType w:val="hybridMultilevel"/>
    <w:tmpl w:val="EB9E9B12"/>
    <w:lvl w:ilvl="0" w:tplc="ADD08CA6">
      <w:start w:val="515"/>
      <w:numFmt w:val="bullet"/>
      <w:lvlText w:val="-"/>
      <w:lvlJc w:val="left"/>
      <w:pPr>
        <w:ind w:left="420" w:hanging="360"/>
      </w:pPr>
      <w:rPr>
        <w:rFonts w:ascii="Times New Roman" w:eastAsia="Times New Roman" w:hAnsi="Times New Roman" w:cs="Times New Roman" w:hint="default"/>
        <w:b/>
      </w:rPr>
    </w:lvl>
    <w:lvl w:ilvl="1" w:tplc="344EF6F4" w:tentative="1">
      <w:start w:val="1"/>
      <w:numFmt w:val="bullet"/>
      <w:lvlText w:val="o"/>
      <w:lvlJc w:val="left"/>
      <w:pPr>
        <w:ind w:left="1140" w:hanging="360"/>
      </w:pPr>
      <w:rPr>
        <w:rFonts w:ascii="Courier New" w:hAnsi="Courier New" w:cs="Courier New" w:hint="default"/>
      </w:rPr>
    </w:lvl>
    <w:lvl w:ilvl="2" w:tplc="8B9C4BAA" w:tentative="1">
      <w:start w:val="1"/>
      <w:numFmt w:val="bullet"/>
      <w:lvlText w:val=""/>
      <w:lvlJc w:val="left"/>
      <w:pPr>
        <w:ind w:left="1860" w:hanging="360"/>
      </w:pPr>
      <w:rPr>
        <w:rFonts w:ascii="Wingdings" w:hAnsi="Wingdings" w:hint="default"/>
      </w:rPr>
    </w:lvl>
    <w:lvl w:ilvl="3" w:tplc="12F48178" w:tentative="1">
      <w:start w:val="1"/>
      <w:numFmt w:val="bullet"/>
      <w:lvlText w:val=""/>
      <w:lvlJc w:val="left"/>
      <w:pPr>
        <w:ind w:left="2580" w:hanging="360"/>
      </w:pPr>
      <w:rPr>
        <w:rFonts w:ascii="Symbol" w:hAnsi="Symbol" w:hint="default"/>
      </w:rPr>
    </w:lvl>
    <w:lvl w:ilvl="4" w:tplc="4B8EF33A" w:tentative="1">
      <w:start w:val="1"/>
      <w:numFmt w:val="bullet"/>
      <w:lvlText w:val="o"/>
      <w:lvlJc w:val="left"/>
      <w:pPr>
        <w:ind w:left="3300" w:hanging="360"/>
      </w:pPr>
      <w:rPr>
        <w:rFonts w:ascii="Courier New" w:hAnsi="Courier New" w:cs="Courier New" w:hint="default"/>
      </w:rPr>
    </w:lvl>
    <w:lvl w:ilvl="5" w:tplc="7B749032" w:tentative="1">
      <w:start w:val="1"/>
      <w:numFmt w:val="bullet"/>
      <w:lvlText w:val=""/>
      <w:lvlJc w:val="left"/>
      <w:pPr>
        <w:ind w:left="4020" w:hanging="360"/>
      </w:pPr>
      <w:rPr>
        <w:rFonts w:ascii="Wingdings" w:hAnsi="Wingdings" w:hint="default"/>
      </w:rPr>
    </w:lvl>
    <w:lvl w:ilvl="6" w:tplc="6812FF24" w:tentative="1">
      <w:start w:val="1"/>
      <w:numFmt w:val="bullet"/>
      <w:lvlText w:val=""/>
      <w:lvlJc w:val="left"/>
      <w:pPr>
        <w:ind w:left="4740" w:hanging="360"/>
      </w:pPr>
      <w:rPr>
        <w:rFonts w:ascii="Symbol" w:hAnsi="Symbol" w:hint="default"/>
      </w:rPr>
    </w:lvl>
    <w:lvl w:ilvl="7" w:tplc="CE88D25A" w:tentative="1">
      <w:start w:val="1"/>
      <w:numFmt w:val="bullet"/>
      <w:lvlText w:val="o"/>
      <w:lvlJc w:val="left"/>
      <w:pPr>
        <w:ind w:left="5460" w:hanging="360"/>
      </w:pPr>
      <w:rPr>
        <w:rFonts w:ascii="Courier New" w:hAnsi="Courier New" w:cs="Courier New" w:hint="default"/>
      </w:rPr>
    </w:lvl>
    <w:lvl w:ilvl="8" w:tplc="70284DC0" w:tentative="1">
      <w:start w:val="1"/>
      <w:numFmt w:val="bullet"/>
      <w:lvlText w:val=""/>
      <w:lvlJc w:val="left"/>
      <w:pPr>
        <w:ind w:left="6180" w:hanging="360"/>
      </w:pPr>
      <w:rPr>
        <w:rFonts w:ascii="Wingdings" w:hAnsi="Wingdings" w:hint="default"/>
      </w:rPr>
    </w:lvl>
  </w:abstractNum>
  <w:abstractNum w:abstractNumId="3" w15:restartNumberingAfterBreak="0">
    <w:nsid w:val="1BA671A5"/>
    <w:multiLevelType w:val="hybridMultilevel"/>
    <w:tmpl w:val="E7564B8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296A7982"/>
    <w:multiLevelType w:val="hybridMultilevel"/>
    <w:tmpl w:val="688E6F8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3101428B"/>
    <w:multiLevelType w:val="hybridMultilevel"/>
    <w:tmpl w:val="2D28E6BC"/>
    <w:lvl w:ilvl="0" w:tplc="0D5E16E8">
      <w:start w:val="515"/>
      <w:numFmt w:val="bullet"/>
      <w:lvlText w:val="-"/>
      <w:lvlJc w:val="left"/>
      <w:pPr>
        <w:ind w:left="1740" w:hanging="360"/>
      </w:pPr>
      <w:rPr>
        <w:rFonts w:ascii="Times New Roman" w:eastAsia="Times New Roman" w:hAnsi="Times New Roman" w:cs="Times New Roman" w:hint="default"/>
      </w:rPr>
    </w:lvl>
    <w:lvl w:ilvl="1" w:tplc="406AA4C8" w:tentative="1">
      <w:start w:val="1"/>
      <w:numFmt w:val="bullet"/>
      <w:lvlText w:val="o"/>
      <w:lvlJc w:val="left"/>
      <w:pPr>
        <w:ind w:left="2460" w:hanging="360"/>
      </w:pPr>
      <w:rPr>
        <w:rFonts w:ascii="Courier New" w:hAnsi="Courier New" w:cs="Courier New" w:hint="default"/>
      </w:rPr>
    </w:lvl>
    <w:lvl w:ilvl="2" w:tplc="3D4E549C" w:tentative="1">
      <w:start w:val="1"/>
      <w:numFmt w:val="bullet"/>
      <w:lvlText w:val=""/>
      <w:lvlJc w:val="left"/>
      <w:pPr>
        <w:ind w:left="3180" w:hanging="360"/>
      </w:pPr>
      <w:rPr>
        <w:rFonts w:ascii="Wingdings" w:hAnsi="Wingdings" w:hint="default"/>
      </w:rPr>
    </w:lvl>
    <w:lvl w:ilvl="3" w:tplc="784EBB84" w:tentative="1">
      <w:start w:val="1"/>
      <w:numFmt w:val="bullet"/>
      <w:lvlText w:val=""/>
      <w:lvlJc w:val="left"/>
      <w:pPr>
        <w:ind w:left="3900" w:hanging="360"/>
      </w:pPr>
      <w:rPr>
        <w:rFonts w:ascii="Symbol" w:hAnsi="Symbol" w:hint="default"/>
      </w:rPr>
    </w:lvl>
    <w:lvl w:ilvl="4" w:tplc="5FF6F242" w:tentative="1">
      <w:start w:val="1"/>
      <w:numFmt w:val="bullet"/>
      <w:lvlText w:val="o"/>
      <w:lvlJc w:val="left"/>
      <w:pPr>
        <w:ind w:left="4620" w:hanging="360"/>
      </w:pPr>
      <w:rPr>
        <w:rFonts w:ascii="Courier New" w:hAnsi="Courier New" w:cs="Courier New" w:hint="default"/>
      </w:rPr>
    </w:lvl>
    <w:lvl w:ilvl="5" w:tplc="62BC23DE" w:tentative="1">
      <w:start w:val="1"/>
      <w:numFmt w:val="bullet"/>
      <w:lvlText w:val=""/>
      <w:lvlJc w:val="left"/>
      <w:pPr>
        <w:ind w:left="5340" w:hanging="360"/>
      </w:pPr>
      <w:rPr>
        <w:rFonts w:ascii="Wingdings" w:hAnsi="Wingdings" w:hint="default"/>
      </w:rPr>
    </w:lvl>
    <w:lvl w:ilvl="6" w:tplc="79EA767E" w:tentative="1">
      <w:start w:val="1"/>
      <w:numFmt w:val="bullet"/>
      <w:lvlText w:val=""/>
      <w:lvlJc w:val="left"/>
      <w:pPr>
        <w:ind w:left="6060" w:hanging="360"/>
      </w:pPr>
      <w:rPr>
        <w:rFonts w:ascii="Symbol" w:hAnsi="Symbol" w:hint="default"/>
      </w:rPr>
    </w:lvl>
    <w:lvl w:ilvl="7" w:tplc="61B60B9C" w:tentative="1">
      <w:start w:val="1"/>
      <w:numFmt w:val="bullet"/>
      <w:lvlText w:val="o"/>
      <w:lvlJc w:val="left"/>
      <w:pPr>
        <w:ind w:left="6780" w:hanging="360"/>
      </w:pPr>
      <w:rPr>
        <w:rFonts w:ascii="Courier New" w:hAnsi="Courier New" w:cs="Courier New" w:hint="default"/>
      </w:rPr>
    </w:lvl>
    <w:lvl w:ilvl="8" w:tplc="CD16497E" w:tentative="1">
      <w:start w:val="1"/>
      <w:numFmt w:val="bullet"/>
      <w:lvlText w:val=""/>
      <w:lvlJc w:val="left"/>
      <w:pPr>
        <w:ind w:left="7500" w:hanging="360"/>
      </w:pPr>
      <w:rPr>
        <w:rFonts w:ascii="Wingdings" w:hAnsi="Wingdings" w:hint="default"/>
      </w:rPr>
    </w:lvl>
  </w:abstractNum>
  <w:abstractNum w:abstractNumId="6" w15:restartNumberingAfterBreak="0">
    <w:nsid w:val="317929E7"/>
    <w:multiLevelType w:val="hybridMultilevel"/>
    <w:tmpl w:val="87E24876"/>
    <w:lvl w:ilvl="0" w:tplc="041A0013">
      <w:start w:val="1"/>
      <w:numFmt w:val="upp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457F5FC4"/>
    <w:multiLevelType w:val="hybridMultilevel"/>
    <w:tmpl w:val="27868BB0"/>
    <w:lvl w:ilvl="0" w:tplc="041A0013">
      <w:start w:val="1"/>
      <w:numFmt w:val="upperRoman"/>
      <w:lvlText w:val="%1."/>
      <w:lvlJc w:val="righ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47DC7F44"/>
    <w:multiLevelType w:val="hybridMultilevel"/>
    <w:tmpl w:val="864EE760"/>
    <w:lvl w:ilvl="0" w:tplc="11CE7BDE">
      <w:numFmt w:val="bullet"/>
      <w:lvlText w:val="-"/>
      <w:lvlJc w:val="left"/>
      <w:pPr>
        <w:ind w:left="720" w:hanging="360"/>
      </w:pPr>
      <w:rPr>
        <w:rFonts w:ascii="Times New Roman" w:eastAsia="Times New Roman" w:hAnsi="Times New Roman" w:cs="Times New Roman" w:hint="default"/>
        <w:b/>
      </w:rPr>
    </w:lvl>
    <w:lvl w:ilvl="1" w:tplc="8D906BEA" w:tentative="1">
      <w:start w:val="1"/>
      <w:numFmt w:val="bullet"/>
      <w:lvlText w:val="o"/>
      <w:lvlJc w:val="left"/>
      <w:pPr>
        <w:ind w:left="1440" w:hanging="360"/>
      </w:pPr>
      <w:rPr>
        <w:rFonts w:ascii="Courier New" w:hAnsi="Courier New" w:cs="Courier New" w:hint="default"/>
      </w:rPr>
    </w:lvl>
    <w:lvl w:ilvl="2" w:tplc="651448CA" w:tentative="1">
      <w:start w:val="1"/>
      <w:numFmt w:val="bullet"/>
      <w:lvlText w:val=""/>
      <w:lvlJc w:val="left"/>
      <w:pPr>
        <w:ind w:left="2160" w:hanging="360"/>
      </w:pPr>
      <w:rPr>
        <w:rFonts w:ascii="Wingdings" w:hAnsi="Wingdings" w:hint="default"/>
      </w:rPr>
    </w:lvl>
    <w:lvl w:ilvl="3" w:tplc="C9F437CA" w:tentative="1">
      <w:start w:val="1"/>
      <w:numFmt w:val="bullet"/>
      <w:lvlText w:val=""/>
      <w:lvlJc w:val="left"/>
      <w:pPr>
        <w:ind w:left="2880" w:hanging="360"/>
      </w:pPr>
      <w:rPr>
        <w:rFonts w:ascii="Symbol" w:hAnsi="Symbol" w:hint="default"/>
      </w:rPr>
    </w:lvl>
    <w:lvl w:ilvl="4" w:tplc="B080B7C0" w:tentative="1">
      <w:start w:val="1"/>
      <w:numFmt w:val="bullet"/>
      <w:lvlText w:val="o"/>
      <w:lvlJc w:val="left"/>
      <w:pPr>
        <w:ind w:left="3600" w:hanging="360"/>
      </w:pPr>
      <w:rPr>
        <w:rFonts w:ascii="Courier New" w:hAnsi="Courier New" w:cs="Courier New" w:hint="default"/>
      </w:rPr>
    </w:lvl>
    <w:lvl w:ilvl="5" w:tplc="D7FC66D2" w:tentative="1">
      <w:start w:val="1"/>
      <w:numFmt w:val="bullet"/>
      <w:lvlText w:val=""/>
      <w:lvlJc w:val="left"/>
      <w:pPr>
        <w:ind w:left="4320" w:hanging="360"/>
      </w:pPr>
      <w:rPr>
        <w:rFonts w:ascii="Wingdings" w:hAnsi="Wingdings" w:hint="default"/>
      </w:rPr>
    </w:lvl>
    <w:lvl w:ilvl="6" w:tplc="23280150" w:tentative="1">
      <w:start w:val="1"/>
      <w:numFmt w:val="bullet"/>
      <w:lvlText w:val=""/>
      <w:lvlJc w:val="left"/>
      <w:pPr>
        <w:ind w:left="5040" w:hanging="360"/>
      </w:pPr>
      <w:rPr>
        <w:rFonts w:ascii="Symbol" w:hAnsi="Symbol" w:hint="default"/>
      </w:rPr>
    </w:lvl>
    <w:lvl w:ilvl="7" w:tplc="D3E0E780" w:tentative="1">
      <w:start w:val="1"/>
      <w:numFmt w:val="bullet"/>
      <w:lvlText w:val="o"/>
      <w:lvlJc w:val="left"/>
      <w:pPr>
        <w:ind w:left="5760" w:hanging="360"/>
      </w:pPr>
      <w:rPr>
        <w:rFonts w:ascii="Courier New" w:hAnsi="Courier New" w:cs="Courier New" w:hint="default"/>
      </w:rPr>
    </w:lvl>
    <w:lvl w:ilvl="8" w:tplc="97A07FC0" w:tentative="1">
      <w:start w:val="1"/>
      <w:numFmt w:val="bullet"/>
      <w:lvlText w:val=""/>
      <w:lvlJc w:val="left"/>
      <w:pPr>
        <w:ind w:left="6480" w:hanging="360"/>
      </w:pPr>
      <w:rPr>
        <w:rFonts w:ascii="Wingdings" w:hAnsi="Wingdings" w:hint="default"/>
      </w:rPr>
    </w:lvl>
  </w:abstractNum>
  <w:abstractNum w:abstractNumId="9" w15:restartNumberingAfterBreak="0">
    <w:nsid w:val="4A793AB3"/>
    <w:multiLevelType w:val="hybridMultilevel"/>
    <w:tmpl w:val="2536DA3E"/>
    <w:lvl w:ilvl="0" w:tplc="D5A228F8">
      <w:start w:val="10"/>
      <w:numFmt w:val="bullet"/>
      <w:lvlText w:val="-"/>
      <w:lvlJc w:val="left"/>
      <w:pPr>
        <w:ind w:left="1740" w:hanging="360"/>
      </w:pPr>
      <w:rPr>
        <w:rFonts w:ascii="Times New Roman" w:eastAsiaTheme="minorHAnsi" w:hAnsi="Times New Roman" w:cs="Times New Roman" w:hint="default"/>
      </w:rPr>
    </w:lvl>
    <w:lvl w:ilvl="1" w:tplc="041A0003" w:tentative="1">
      <w:start w:val="1"/>
      <w:numFmt w:val="bullet"/>
      <w:lvlText w:val="o"/>
      <w:lvlJc w:val="left"/>
      <w:pPr>
        <w:ind w:left="2460" w:hanging="360"/>
      </w:pPr>
      <w:rPr>
        <w:rFonts w:ascii="Courier New" w:hAnsi="Courier New" w:cs="Courier New" w:hint="default"/>
      </w:rPr>
    </w:lvl>
    <w:lvl w:ilvl="2" w:tplc="041A0005" w:tentative="1">
      <w:start w:val="1"/>
      <w:numFmt w:val="bullet"/>
      <w:lvlText w:val=""/>
      <w:lvlJc w:val="left"/>
      <w:pPr>
        <w:ind w:left="3180" w:hanging="360"/>
      </w:pPr>
      <w:rPr>
        <w:rFonts w:ascii="Wingdings" w:hAnsi="Wingdings" w:hint="default"/>
      </w:rPr>
    </w:lvl>
    <w:lvl w:ilvl="3" w:tplc="041A0001" w:tentative="1">
      <w:start w:val="1"/>
      <w:numFmt w:val="bullet"/>
      <w:lvlText w:val=""/>
      <w:lvlJc w:val="left"/>
      <w:pPr>
        <w:ind w:left="3900" w:hanging="360"/>
      </w:pPr>
      <w:rPr>
        <w:rFonts w:ascii="Symbol" w:hAnsi="Symbol" w:hint="default"/>
      </w:rPr>
    </w:lvl>
    <w:lvl w:ilvl="4" w:tplc="041A0003" w:tentative="1">
      <w:start w:val="1"/>
      <w:numFmt w:val="bullet"/>
      <w:lvlText w:val="o"/>
      <w:lvlJc w:val="left"/>
      <w:pPr>
        <w:ind w:left="4620" w:hanging="360"/>
      </w:pPr>
      <w:rPr>
        <w:rFonts w:ascii="Courier New" w:hAnsi="Courier New" w:cs="Courier New" w:hint="default"/>
      </w:rPr>
    </w:lvl>
    <w:lvl w:ilvl="5" w:tplc="041A0005" w:tentative="1">
      <w:start w:val="1"/>
      <w:numFmt w:val="bullet"/>
      <w:lvlText w:val=""/>
      <w:lvlJc w:val="left"/>
      <w:pPr>
        <w:ind w:left="5340" w:hanging="360"/>
      </w:pPr>
      <w:rPr>
        <w:rFonts w:ascii="Wingdings" w:hAnsi="Wingdings" w:hint="default"/>
      </w:rPr>
    </w:lvl>
    <w:lvl w:ilvl="6" w:tplc="041A0001" w:tentative="1">
      <w:start w:val="1"/>
      <w:numFmt w:val="bullet"/>
      <w:lvlText w:val=""/>
      <w:lvlJc w:val="left"/>
      <w:pPr>
        <w:ind w:left="6060" w:hanging="360"/>
      </w:pPr>
      <w:rPr>
        <w:rFonts w:ascii="Symbol" w:hAnsi="Symbol" w:hint="default"/>
      </w:rPr>
    </w:lvl>
    <w:lvl w:ilvl="7" w:tplc="041A0003" w:tentative="1">
      <w:start w:val="1"/>
      <w:numFmt w:val="bullet"/>
      <w:lvlText w:val="o"/>
      <w:lvlJc w:val="left"/>
      <w:pPr>
        <w:ind w:left="6780" w:hanging="360"/>
      </w:pPr>
      <w:rPr>
        <w:rFonts w:ascii="Courier New" w:hAnsi="Courier New" w:cs="Courier New" w:hint="default"/>
      </w:rPr>
    </w:lvl>
    <w:lvl w:ilvl="8" w:tplc="041A0005" w:tentative="1">
      <w:start w:val="1"/>
      <w:numFmt w:val="bullet"/>
      <w:lvlText w:val=""/>
      <w:lvlJc w:val="left"/>
      <w:pPr>
        <w:ind w:left="7500" w:hanging="360"/>
      </w:pPr>
      <w:rPr>
        <w:rFonts w:ascii="Wingdings" w:hAnsi="Wingdings" w:hint="default"/>
      </w:rPr>
    </w:lvl>
  </w:abstractNum>
  <w:abstractNum w:abstractNumId="10" w15:restartNumberingAfterBreak="0">
    <w:nsid w:val="54003BC8"/>
    <w:multiLevelType w:val="hybridMultilevel"/>
    <w:tmpl w:val="9D740448"/>
    <w:lvl w:ilvl="0" w:tplc="041A0013">
      <w:start w:val="1"/>
      <w:numFmt w:val="upperRoman"/>
      <w:lvlText w:val="%1."/>
      <w:lvlJc w:val="righ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71982334"/>
    <w:multiLevelType w:val="hybridMultilevel"/>
    <w:tmpl w:val="3046581C"/>
    <w:lvl w:ilvl="0" w:tplc="51604C1E">
      <w:numFmt w:val="bullet"/>
      <w:lvlText w:val="-"/>
      <w:lvlJc w:val="left"/>
      <w:pPr>
        <w:ind w:left="720" w:hanging="360"/>
      </w:pPr>
      <w:rPr>
        <w:rFonts w:ascii="Times New Roman" w:eastAsia="Times New Roman" w:hAnsi="Times New Roman" w:cs="Times New Roman" w:hint="default"/>
        <w:b/>
      </w:rPr>
    </w:lvl>
    <w:lvl w:ilvl="1" w:tplc="A5CE6376" w:tentative="1">
      <w:start w:val="1"/>
      <w:numFmt w:val="bullet"/>
      <w:lvlText w:val="o"/>
      <w:lvlJc w:val="left"/>
      <w:pPr>
        <w:ind w:left="1440" w:hanging="360"/>
      </w:pPr>
      <w:rPr>
        <w:rFonts w:ascii="Courier New" w:hAnsi="Courier New" w:cs="Courier New" w:hint="default"/>
      </w:rPr>
    </w:lvl>
    <w:lvl w:ilvl="2" w:tplc="25382462" w:tentative="1">
      <w:start w:val="1"/>
      <w:numFmt w:val="bullet"/>
      <w:lvlText w:val=""/>
      <w:lvlJc w:val="left"/>
      <w:pPr>
        <w:ind w:left="2160" w:hanging="360"/>
      </w:pPr>
      <w:rPr>
        <w:rFonts w:ascii="Wingdings" w:hAnsi="Wingdings" w:hint="default"/>
      </w:rPr>
    </w:lvl>
    <w:lvl w:ilvl="3" w:tplc="46046560" w:tentative="1">
      <w:start w:val="1"/>
      <w:numFmt w:val="bullet"/>
      <w:lvlText w:val=""/>
      <w:lvlJc w:val="left"/>
      <w:pPr>
        <w:ind w:left="2880" w:hanging="360"/>
      </w:pPr>
      <w:rPr>
        <w:rFonts w:ascii="Symbol" w:hAnsi="Symbol" w:hint="default"/>
      </w:rPr>
    </w:lvl>
    <w:lvl w:ilvl="4" w:tplc="88DE0CF0" w:tentative="1">
      <w:start w:val="1"/>
      <w:numFmt w:val="bullet"/>
      <w:lvlText w:val="o"/>
      <w:lvlJc w:val="left"/>
      <w:pPr>
        <w:ind w:left="3600" w:hanging="360"/>
      </w:pPr>
      <w:rPr>
        <w:rFonts w:ascii="Courier New" w:hAnsi="Courier New" w:cs="Courier New" w:hint="default"/>
      </w:rPr>
    </w:lvl>
    <w:lvl w:ilvl="5" w:tplc="C4DA808E" w:tentative="1">
      <w:start w:val="1"/>
      <w:numFmt w:val="bullet"/>
      <w:lvlText w:val=""/>
      <w:lvlJc w:val="left"/>
      <w:pPr>
        <w:ind w:left="4320" w:hanging="360"/>
      </w:pPr>
      <w:rPr>
        <w:rFonts w:ascii="Wingdings" w:hAnsi="Wingdings" w:hint="default"/>
      </w:rPr>
    </w:lvl>
    <w:lvl w:ilvl="6" w:tplc="643AA3FE" w:tentative="1">
      <w:start w:val="1"/>
      <w:numFmt w:val="bullet"/>
      <w:lvlText w:val=""/>
      <w:lvlJc w:val="left"/>
      <w:pPr>
        <w:ind w:left="5040" w:hanging="360"/>
      </w:pPr>
      <w:rPr>
        <w:rFonts w:ascii="Symbol" w:hAnsi="Symbol" w:hint="default"/>
      </w:rPr>
    </w:lvl>
    <w:lvl w:ilvl="7" w:tplc="EBF0FB40" w:tentative="1">
      <w:start w:val="1"/>
      <w:numFmt w:val="bullet"/>
      <w:lvlText w:val="o"/>
      <w:lvlJc w:val="left"/>
      <w:pPr>
        <w:ind w:left="5760" w:hanging="360"/>
      </w:pPr>
      <w:rPr>
        <w:rFonts w:ascii="Courier New" w:hAnsi="Courier New" w:cs="Courier New" w:hint="default"/>
      </w:rPr>
    </w:lvl>
    <w:lvl w:ilvl="8" w:tplc="6C0C67CE" w:tentative="1">
      <w:start w:val="1"/>
      <w:numFmt w:val="bullet"/>
      <w:lvlText w:val=""/>
      <w:lvlJc w:val="left"/>
      <w:pPr>
        <w:ind w:left="6480" w:hanging="360"/>
      </w:pPr>
      <w:rPr>
        <w:rFonts w:ascii="Wingdings" w:hAnsi="Wingdings" w:hint="default"/>
      </w:rPr>
    </w:lvl>
  </w:abstractNum>
  <w:abstractNum w:abstractNumId="12" w15:restartNumberingAfterBreak="0">
    <w:nsid w:val="7200424B"/>
    <w:multiLevelType w:val="hybridMultilevel"/>
    <w:tmpl w:val="F8EAF3A8"/>
    <w:lvl w:ilvl="0" w:tplc="B33A6964">
      <w:start w:val="1"/>
      <w:numFmt w:val="decimal"/>
      <w:lvlText w:val="%1."/>
      <w:lvlJc w:val="left"/>
      <w:pPr>
        <w:ind w:left="720" w:hanging="360"/>
      </w:pPr>
    </w:lvl>
    <w:lvl w:ilvl="1" w:tplc="970AFCCC" w:tentative="1">
      <w:start w:val="1"/>
      <w:numFmt w:val="lowerLetter"/>
      <w:lvlText w:val="%2."/>
      <w:lvlJc w:val="left"/>
      <w:pPr>
        <w:ind w:left="1440" w:hanging="360"/>
      </w:pPr>
    </w:lvl>
    <w:lvl w:ilvl="2" w:tplc="E4461012" w:tentative="1">
      <w:start w:val="1"/>
      <w:numFmt w:val="lowerRoman"/>
      <w:lvlText w:val="%3."/>
      <w:lvlJc w:val="right"/>
      <w:pPr>
        <w:ind w:left="2160" w:hanging="180"/>
      </w:pPr>
    </w:lvl>
    <w:lvl w:ilvl="3" w:tplc="ED6A8E1C" w:tentative="1">
      <w:start w:val="1"/>
      <w:numFmt w:val="decimal"/>
      <w:lvlText w:val="%4."/>
      <w:lvlJc w:val="left"/>
      <w:pPr>
        <w:ind w:left="2880" w:hanging="360"/>
      </w:pPr>
    </w:lvl>
    <w:lvl w:ilvl="4" w:tplc="45E6D8F0" w:tentative="1">
      <w:start w:val="1"/>
      <w:numFmt w:val="lowerLetter"/>
      <w:lvlText w:val="%5."/>
      <w:lvlJc w:val="left"/>
      <w:pPr>
        <w:ind w:left="3600" w:hanging="360"/>
      </w:pPr>
    </w:lvl>
    <w:lvl w:ilvl="5" w:tplc="F9689510" w:tentative="1">
      <w:start w:val="1"/>
      <w:numFmt w:val="lowerRoman"/>
      <w:lvlText w:val="%6."/>
      <w:lvlJc w:val="right"/>
      <w:pPr>
        <w:ind w:left="4320" w:hanging="180"/>
      </w:pPr>
    </w:lvl>
    <w:lvl w:ilvl="6" w:tplc="F0EACB04" w:tentative="1">
      <w:start w:val="1"/>
      <w:numFmt w:val="decimal"/>
      <w:lvlText w:val="%7."/>
      <w:lvlJc w:val="left"/>
      <w:pPr>
        <w:ind w:left="5040" w:hanging="360"/>
      </w:pPr>
    </w:lvl>
    <w:lvl w:ilvl="7" w:tplc="EE7A7242" w:tentative="1">
      <w:start w:val="1"/>
      <w:numFmt w:val="lowerLetter"/>
      <w:lvlText w:val="%8."/>
      <w:lvlJc w:val="left"/>
      <w:pPr>
        <w:ind w:left="5760" w:hanging="360"/>
      </w:pPr>
    </w:lvl>
    <w:lvl w:ilvl="8" w:tplc="AB52FEB4" w:tentative="1">
      <w:start w:val="1"/>
      <w:numFmt w:val="lowerRoman"/>
      <w:lvlText w:val="%9."/>
      <w:lvlJc w:val="right"/>
      <w:pPr>
        <w:ind w:left="6480" w:hanging="180"/>
      </w:pPr>
    </w:lvl>
  </w:abstractNum>
  <w:abstractNum w:abstractNumId="13" w15:restartNumberingAfterBreak="0">
    <w:nsid w:val="73030BD5"/>
    <w:multiLevelType w:val="hybridMultilevel"/>
    <w:tmpl w:val="213A1046"/>
    <w:lvl w:ilvl="0" w:tplc="97646186">
      <w:start w:val="1"/>
      <w:numFmt w:val="decimal"/>
      <w:lvlText w:val="%1."/>
      <w:lvlJc w:val="left"/>
      <w:pPr>
        <w:ind w:left="720" w:hanging="360"/>
      </w:pPr>
    </w:lvl>
    <w:lvl w:ilvl="1" w:tplc="F0E877D0" w:tentative="1">
      <w:start w:val="1"/>
      <w:numFmt w:val="lowerLetter"/>
      <w:lvlText w:val="%2."/>
      <w:lvlJc w:val="left"/>
      <w:pPr>
        <w:ind w:left="1440" w:hanging="360"/>
      </w:pPr>
    </w:lvl>
    <w:lvl w:ilvl="2" w:tplc="0660154A" w:tentative="1">
      <w:start w:val="1"/>
      <w:numFmt w:val="lowerRoman"/>
      <w:lvlText w:val="%3."/>
      <w:lvlJc w:val="right"/>
      <w:pPr>
        <w:ind w:left="2160" w:hanging="180"/>
      </w:pPr>
    </w:lvl>
    <w:lvl w:ilvl="3" w:tplc="0D54918E" w:tentative="1">
      <w:start w:val="1"/>
      <w:numFmt w:val="decimal"/>
      <w:lvlText w:val="%4."/>
      <w:lvlJc w:val="left"/>
      <w:pPr>
        <w:ind w:left="2880" w:hanging="360"/>
      </w:pPr>
    </w:lvl>
    <w:lvl w:ilvl="4" w:tplc="9D0EC080" w:tentative="1">
      <w:start w:val="1"/>
      <w:numFmt w:val="lowerLetter"/>
      <w:lvlText w:val="%5."/>
      <w:lvlJc w:val="left"/>
      <w:pPr>
        <w:ind w:left="3600" w:hanging="360"/>
      </w:pPr>
    </w:lvl>
    <w:lvl w:ilvl="5" w:tplc="A12EF38C" w:tentative="1">
      <w:start w:val="1"/>
      <w:numFmt w:val="lowerRoman"/>
      <w:lvlText w:val="%6."/>
      <w:lvlJc w:val="right"/>
      <w:pPr>
        <w:ind w:left="4320" w:hanging="180"/>
      </w:pPr>
    </w:lvl>
    <w:lvl w:ilvl="6" w:tplc="0430FDC6" w:tentative="1">
      <w:start w:val="1"/>
      <w:numFmt w:val="decimal"/>
      <w:lvlText w:val="%7."/>
      <w:lvlJc w:val="left"/>
      <w:pPr>
        <w:ind w:left="5040" w:hanging="360"/>
      </w:pPr>
    </w:lvl>
    <w:lvl w:ilvl="7" w:tplc="4DAE714A" w:tentative="1">
      <w:start w:val="1"/>
      <w:numFmt w:val="lowerLetter"/>
      <w:lvlText w:val="%8."/>
      <w:lvlJc w:val="left"/>
      <w:pPr>
        <w:ind w:left="5760" w:hanging="360"/>
      </w:pPr>
    </w:lvl>
    <w:lvl w:ilvl="8" w:tplc="8FCC2DB4" w:tentative="1">
      <w:start w:val="1"/>
      <w:numFmt w:val="lowerRoman"/>
      <w:lvlText w:val="%9."/>
      <w:lvlJc w:val="right"/>
      <w:pPr>
        <w:ind w:left="6480" w:hanging="180"/>
      </w:pPr>
    </w:lvl>
  </w:abstractNum>
  <w:abstractNum w:abstractNumId="14" w15:restartNumberingAfterBreak="0">
    <w:nsid w:val="7AB5419A"/>
    <w:multiLevelType w:val="hybridMultilevel"/>
    <w:tmpl w:val="6A5A7B7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5" w15:restartNumberingAfterBreak="0">
    <w:nsid w:val="7C3E2E14"/>
    <w:multiLevelType w:val="hybridMultilevel"/>
    <w:tmpl w:val="30FEC81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
  </w:num>
  <w:num w:numId="2">
    <w:abstractNumId w:val="7"/>
  </w:num>
  <w:num w:numId="3">
    <w:abstractNumId w:val="10"/>
  </w:num>
  <w:num w:numId="4">
    <w:abstractNumId w:val="6"/>
  </w:num>
  <w:num w:numId="5">
    <w:abstractNumId w:val="4"/>
  </w:num>
  <w:num w:numId="6">
    <w:abstractNumId w:val="9"/>
  </w:num>
  <w:num w:numId="7">
    <w:abstractNumId w:val="15"/>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3"/>
  </w:num>
  <w:num w:numId="11">
    <w:abstractNumId w:val="11"/>
  </w:num>
  <w:num w:numId="12">
    <w:abstractNumId w:val="8"/>
  </w:num>
  <w:num w:numId="13">
    <w:abstractNumId w:val="12"/>
  </w:num>
  <w:num w:numId="14">
    <w:abstractNumId w:val="5"/>
  </w:num>
  <w:num w:numId="15">
    <w:abstractNumId w:val="0"/>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2191"/>
    <w:rsid w:val="00006DDB"/>
    <w:rsid w:val="0000736A"/>
    <w:rsid w:val="0002008C"/>
    <w:rsid w:val="00026709"/>
    <w:rsid w:val="00030356"/>
    <w:rsid w:val="00032B9E"/>
    <w:rsid w:val="00037588"/>
    <w:rsid w:val="0004265F"/>
    <w:rsid w:val="000521DF"/>
    <w:rsid w:val="00054128"/>
    <w:rsid w:val="0006518F"/>
    <w:rsid w:val="00072754"/>
    <w:rsid w:val="000813A2"/>
    <w:rsid w:val="000A7F3F"/>
    <w:rsid w:val="000B7247"/>
    <w:rsid w:val="000D236A"/>
    <w:rsid w:val="001070A5"/>
    <w:rsid w:val="00124ADB"/>
    <w:rsid w:val="00124CA4"/>
    <w:rsid w:val="0015327C"/>
    <w:rsid w:val="00154EF3"/>
    <w:rsid w:val="001564AE"/>
    <w:rsid w:val="00182A38"/>
    <w:rsid w:val="001914B1"/>
    <w:rsid w:val="001B61D1"/>
    <w:rsid w:val="001D42E3"/>
    <w:rsid w:val="001E0EC7"/>
    <w:rsid w:val="001F34F6"/>
    <w:rsid w:val="001F7307"/>
    <w:rsid w:val="002049EF"/>
    <w:rsid w:val="0022010D"/>
    <w:rsid w:val="00237420"/>
    <w:rsid w:val="00246B95"/>
    <w:rsid w:val="002563CF"/>
    <w:rsid w:val="00262E35"/>
    <w:rsid w:val="00274313"/>
    <w:rsid w:val="00281A22"/>
    <w:rsid w:val="00296B83"/>
    <w:rsid w:val="002A0C27"/>
    <w:rsid w:val="002F5D44"/>
    <w:rsid w:val="00311890"/>
    <w:rsid w:val="0034181D"/>
    <w:rsid w:val="003425F1"/>
    <w:rsid w:val="00343483"/>
    <w:rsid w:val="003634AC"/>
    <w:rsid w:val="00375E83"/>
    <w:rsid w:val="00382E4A"/>
    <w:rsid w:val="003906A3"/>
    <w:rsid w:val="00393DC5"/>
    <w:rsid w:val="003941A4"/>
    <w:rsid w:val="003C35F1"/>
    <w:rsid w:val="003E1E68"/>
    <w:rsid w:val="003F356A"/>
    <w:rsid w:val="00417500"/>
    <w:rsid w:val="00433EBF"/>
    <w:rsid w:val="0044559F"/>
    <w:rsid w:val="00452C44"/>
    <w:rsid w:val="00457FF0"/>
    <w:rsid w:val="00467BDC"/>
    <w:rsid w:val="004712CA"/>
    <w:rsid w:val="004A0F62"/>
    <w:rsid w:val="004A4128"/>
    <w:rsid w:val="004B33EC"/>
    <w:rsid w:val="004B3DBD"/>
    <w:rsid w:val="004C1CB2"/>
    <w:rsid w:val="004D4324"/>
    <w:rsid w:val="004F76F3"/>
    <w:rsid w:val="0050069C"/>
    <w:rsid w:val="00526BB9"/>
    <w:rsid w:val="00534A93"/>
    <w:rsid w:val="00537C10"/>
    <w:rsid w:val="0054309C"/>
    <w:rsid w:val="00553747"/>
    <w:rsid w:val="005704EC"/>
    <w:rsid w:val="00576D4E"/>
    <w:rsid w:val="00584716"/>
    <w:rsid w:val="005936E5"/>
    <w:rsid w:val="00595522"/>
    <w:rsid w:val="005A5D10"/>
    <w:rsid w:val="005E4EE5"/>
    <w:rsid w:val="00653FEA"/>
    <w:rsid w:val="00657CC1"/>
    <w:rsid w:val="00661928"/>
    <w:rsid w:val="00671BA5"/>
    <w:rsid w:val="006803C4"/>
    <w:rsid w:val="00693AFC"/>
    <w:rsid w:val="006966C9"/>
    <w:rsid w:val="006B6BEE"/>
    <w:rsid w:val="006B77EF"/>
    <w:rsid w:val="006D409F"/>
    <w:rsid w:val="006E0499"/>
    <w:rsid w:val="00712447"/>
    <w:rsid w:val="00716834"/>
    <w:rsid w:val="007300F7"/>
    <w:rsid w:val="00741427"/>
    <w:rsid w:val="00753EA6"/>
    <w:rsid w:val="00762535"/>
    <w:rsid w:val="00791E81"/>
    <w:rsid w:val="00796A4C"/>
    <w:rsid w:val="00797E70"/>
    <w:rsid w:val="007A3359"/>
    <w:rsid w:val="007B1BDD"/>
    <w:rsid w:val="007B7487"/>
    <w:rsid w:val="007D26D0"/>
    <w:rsid w:val="007E2C8E"/>
    <w:rsid w:val="00801D6F"/>
    <w:rsid w:val="00815694"/>
    <w:rsid w:val="00827D29"/>
    <w:rsid w:val="00834BF8"/>
    <w:rsid w:val="00837457"/>
    <w:rsid w:val="00846196"/>
    <w:rsid w:val="00861BF7"/>
    <w:rsid w:val="008652A9"/>
    <w:rsid w:val="0089085E"/>
    <w:rsid w:val="00892191"/>
    <w:rsid w:val="00896BA1"/>
    <w:rsid w:val="008B7283"/>
    <w:rsid w:val="008D58AA"/>
    <w:rsid w:val="008D6C00"/>
    <w:rsid w:val="008D73CD"/>
    <w:rsid w:val="008E2801"/>
    <w:rsid w:val="008E4ADF"/>
    <w:rsid w:val="008E6E2F"/>
    <w:rsid w:val="008F1B44"/>
    <w:rsid w:val="009058A6"/>
    <w:rsid w:val="009164EA"/>
    <w:rsid w:val="00924DF0"/>
    <w:rsid w:val="00941E47"/>
    <w:rsid w:val="0094500E"/>
    <w:rsid w:val="009520A7"/>
    <w:rsid w:val="00967767"/>
    <w:rsid w:val="009842AF"/>
    <w:rsid w:val="009908F8"/>
    <w:rsid w:val="00994611"/>
    <w:rsid w:val="009967C0"/>
    <w:rsid w:val="009A51E9"/>
    <w:rsid w:val="009B0CF5"/>
    <w:rsid w:val="009B4564"/>
    <w:rsid w:val="009C2585"/>
    <w:rsid w:val="009E5963"/>
    <w:rsid w:val="009F3A48"/>
    <w:rsid w:val="00A17A44"/>
    <w:rsid w:val="00A32477"/>
    <w:rsid w:val="00A41805"/>
    <w:rsid w:val="00A46D6A"/>
    <w:rsid w:val="00A5588A"/>
    <w:rsid w:val="00A57FE6"/>
    <w:rsid w:val="00A767FB"/>
    <w:rsid w:val="00A95368"/>
    <w:rsid w:val="00AB210F"/>
    <w:rsid w:val="00AC7F12"/>
    <w:rsid w:val="00AD03E6"/>
    <w:rsid w:val="00AE5F24"/>
    <w:rsid w:val="00B026C4"/>
    <w:rsid w:val="00B05A08"/>
    <w:rsid w:val="00B16321"/>
    <w:rsid w:val="00B30193"/>
    <w:rsid w:val="00B45AE8"/>
    <w:rsid w:val="00B634D3"/>
    <w:rsid w:val="00B76A5A"/>
    <w:rsid w:val="00B967E7"/>
    <w:rsid w:val="00BA007A"/>
    <w:rsid w:val="00BB07E8"/>
    <w:rsid w:val="00BB3C1C"/>
    <w:rsid w:val="00BC3C40"/>
    <w:rsid w:val="00BD3601"/>
    <w:rsid w:val="00BF0599"/>
    <w:rsid w:val="00BF5FDA"/>
    <w:rsid w:val="00C03404"/>
    <w:rsid w:val="00C37FBB"/>
    <w:rsid w:val="00C403B1"/>
    <w:rsid w:val="00C47B45"/>
    <w:rsid w:val="00C50A5A"/>
    <w:rsid w:val="00C51616"/>
    <w:rsid w:val="00C82B2C"/>
    <w:rsid w:val="00CB182B"/>
    <w:rsid w:val="00CB4864"/>
    <w:rsid w:val="00CC2307"/>
    <w:rsid w:val="00CC28D2"/>
    <w:rsid w:val="00CC61E3"/>
    <w:rsid w:val="00CE0A0A"/>
    <w:rsid w:val="00CE2403"/>
    <w:rsid w:val="00CF49A9"/>
    <w:rsid w:val="00D1328E"/>
    <w:rsid w:val="00D1674D"/>
    <w:rsid w:val="00D17BD5"/>
    <w:rsid w:val="00D37091"/>
    <w:rsid w:val="00D54E76"/>
    <w:rsid w:val="00D60B6A"/>
    <w:rsid w:val="00D67D49"/>
    <w:rsid w:val="00D723C0"/>
    <w:rsid w:val="00D758F4"/>
    <w:rsid w:val="00DA3E53"/>
    <w:rsid w:val="00DD35AD"/>
    <w:rsid w:val="00DD50AB"/>
    <w:rsid w:val="00DD7582"/>
    <w:rsid w:val="00DE26CC"/>
    <w:rsid w:val="00E0271E"/>
    <w:rsid w:val="00E169E6"/>
    <w:rsid w:val="00E22853"/>
    <w:rsid w:val="00E2298F"/>
    <w:rsid w:val="00E339EE"/>
    <w:rsid w:val="00E5603E"/>
    <w:rsid w:val="00E6198E"/>
    <w:rsid w:val="00E65DBE"/>
    <w:rsid w:val="00E663EE"/>
    <w:rsid w:val="00E747CA"/>
    <w:rsid w:val="00EA09F6"/>
    <w:rsid w:val="00EA5CC4"/>
    <w:rsid w:val="00EC7164"/>
    <w:rsid w:val="00ED2E99"/>
    <w:rsid w:val="00ED31E6"/>
    <w:rsid w:val="00ED46C7"/>
    <w:rsid w:val="00F1713F"/>
    <w:rsid w:val="00F2138F"/>
    <w:rsid w:val="00F3130C"/>
    <w:rsid w:val="00F32FF9"/>
    <w:rsid w:val="00F3515E"/>
    <w:rsid w:val="00F446B3"/>
    <w:rsid w:val="00F51153"/>
    <w:rsid w:val="00F546B2"/>
    <w:rsid w:val="00F55A87"/>
    <w:rsid w:val="00F55CA8"/>
    <w:rsid w:val="00F60F1D"/>
    <w:rsid w:val="00F67645"/>
    <w:rsid w:val="00F8541B"/>
    <w:rsid w:val="00F90876"/>
    <w:rsid w:val="00FA11C8"/>
    <w:rsid w:val="00FB2BC2"/>
    <w:rsid w:val="00FB3087"/>
    <w:rsid w:val="00FC5BD8"/>
    <w:rsid w:val="00FE0714"/>
    <w:rsid w:val="00FF37F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55BC1"/>
  <w15:chartTrackingRefBased/>
  <w15:docId w15:val="{33A110B2-D2A9-433A-9DF6-E9024C134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237420"/>
    <w:pPr>
      <w:keepNext/>
      <w:spacing w:after="0" w:line="240" w:lineRule="auto"/>
      <w:ind w:right="4572"/>
      <w:outlineLvl w:val="1"/>
    </w:pPr>
    <w:rPr>
      <w:rFonts w:ascii="Times New Roman" w:eastAsia="Times New Roman" w:hAnsi="Times New Roman" w:cs="Times New Roman"/>
      <w:b/>
      <w:i/>
      <w:snapToGrid w:val="0"/>
      <w:sz w:val="24"/>
      <w:szCs w:val="24"/>
    </w:rPr>
  </w:style>
  <w:style w:type="paragraph" w:styleId="Heading3">
    <w:name w:val="heading 3"/>
    <w:basedOn w:val="Normal"/>
    <w:next w:val="Normal"/>
    <w:link w:val="Heading3Char"/>
    <w:semiHidden/>
    <w:unhideWhenUsed/>
    <w:qFormat/>
    <w:rsid w:val="00237420"/>
    <w:pPr>
      <w:keepNext/>
      <w:spacing w:before="240" w:after="60" w:line="240" w:lineRule="auto"/>
      <w:outlineLvl w:val="2"/>
    </w:pPr>
    <w:rPr>
      <w:rFonts w:ascii="Cambria" w:eastAsia="Times New Roman" w:hAnsi="Cambria"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634AC"/>
    <w:rPr>
      <w:color w:val="0000FF"/>
      <w:u w:val="single"/>
    </w:rPr>
  </w:style>
  <w:style w:type="character" w:styleId="FollowedHyperlink">
    <w:name w:val="FollowedHyperlink"/>
    <w:basedOn w:val="DefaultParagraphFont"/>
    <w:uiPriority w:val="99"/>
    <w:semiHidden/>
    <w:unhideWhenUsed/>
    <w:rsid w:val="003634AC"/>
    <w:rPr>
      <w:color w:val="800080"/>
      <w:u w:val="single"/>
    </w:rPr>
  </w:style>
  <w:style w:type="paragraph" w:customStyle="1" w:styleId="msonormal0">
    <w:name w:val="msonormal"/>
    <w:basedOn w:val="Normal"/>
    <w:rsid w:val="003634AC"/>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xl108">
    <w:name w:val="xl108"/>
    <w:basedOn w:val="Normal"/>
    <w:rsid w:val="003634AC"/>
    <w:pPr>
      <w:spacing w:before="100" w:beforeAutospacing="1" w:after="100" w:afterAutospacing="1" w:line="240" w:lineRule="auto"/>
    </w:pPr>
    <w:rPr>
      <w:rFonts w:ascii="Times New Roman" w:eastAsia="Times New Roman" w:hAnsi="Times New Roman" w:cs="Times New Roman"/>
      <w:lang w:eastAsia="hr-HR"/>
    </w:rPr>
  </w:style>
  <w:style w:type="paragraph" w:customStyle="1" w:styleId="xl109">
    <w:name w:val="xl109"/>
    <w:basedOn w:val="Normal"/>
    <w:rsid w:val="003634AC"/>
    <w:pPr>
      <w:spacing w:before="100" w:beforeAutospacing="1" w:after="100" w:afterAutospacing="1" w:line="240" w:lineRule="auto"/>
    </w:pPr>
    <w:rPr>
      <w:rFonts w:ascii="Times New Roman" w:eastAsia="Times New Roman" w:hAnsi="Times New Roman" w:cs="Times New Roman"/>
      <w:lang w:eastAsia="hr-HR"/>
    </w:rPr>
  </w:style>
  <w:style w:type="paragraph" w:customStyle="1" w:styleId="xl110">
    <w:name w:val="xl110"/>
    <w:basedOn w:val="Normal"/>
    <w:rsid w:val="003634AC"/>
    <w:pPr>
      <w:spacing w:before="100" w:beforeAutospacing="1" w:after="100" w:afterAutospacing="1" w:line="240" w:lineRule="auto"/>
    </w:pPr>
    <w:rPr>
      <w:rFonts w:ascii="Times New Roman" w:eastAsia="Times New Roman" w:hAnsi="Times New Roman" w:cs="Times New Roman"/>
      <w:lang w:eastAsia="hr-HR"/>
    </w:rPr>
  </w:style>
  <w:style w:type="paragraph" w:customStyle="1" w:styleId="xl111">
    <w:name w:val="xl111"/>
    <w:basedOn w:val="Normal"/>
    <w:rsid w:val="003634AC"/>
    <w:pPr>
      <w:spacing w:before="100" w:beforeAutospacing="1" w:after="100" w:afterAutospacing="1" w:line="240" w:lineRule="auto"/>
    </w:pPr>
    <w:rPr>
      <w:rFonts w:ascii="Times New Roman" w:eastAsia="Times New Roman" w:hAnsi="Times New Roman" w:cs="Times New Roman"/>
      <w:lang w:eastAsia="hr-HR"/>
    </w:rPr>
  </w:style>
  <w:style w:type="paragraph" w:customStyle="1" w:styleId="xl112">
    <w:name w:val="xl112"/>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18"/>
      <w:szCs w:val="18"/>
      <w:lang w:eastAsia="hr-HR"/>
    </w:rPr>
  </w:style>
  <w:style w:type="paragraph" w:customStyle="1" w:styleId="xl113">
    <w:name w:val="xl113"/>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18"/>
      <w:szCs w:val="18"/>
      <w:lang w:eastAsia="hr-HR"/>
    </w:rPr>
  </w:style>
  <w:style w:type="paragraph" w:customStyle="1" w:styleId="xl114">
    <w:name w:val="xl114"/>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18"/>
      <w:szCs w:val="18"/>
      <w:lang w:eastAsia="hr-HR"/>
    </w:rPr>
  </w:style>
  <w:style w:type="paragraph" w:customStyle="1" w:styleId="xl115">
    <w:name w:val="xl115"/>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18"/>
      <w:szCs w:val="18"/>
      <w:lang w:eastAsia="hr-HR"/>
    </w:rPr>
  </w:style>
  <w:style w:type="paragraph" w:customStyle="1" w:styleId="xl116">
    <w:name w:val="xl116"/>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hr-HR"/>
    </w:rPr>
  </w:style>
  <w:style w:type="paragraph" w:customStyle="1" w:styleId="xl117">
    <w:name w:val="xl117"/>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18"/>
      <w:szCs w:val="18"/>
      <w:lang w:eastAsia="hr-HR"/>
    </w:rPr>
  </w:style>
  <w:style w:type="paragraph" w:customStyle="1" w:styleId="xl118">
    <w:name w:val="xl118"/>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hr-HR"/>
    </w:rPr>
  </w:style>
  <w:style w:type="paragraph" w:customStyle="1" w:styleId="xl119">
    <w:name w:val="xl119"/>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hr-HR"/>
    </w:rPr>
  </w:style>
  <w:style w:type="paragraph" w:customStyle="1" w:styleId="xl120">
    <w:name w:val="xl120"/>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hr-HR"/>
    </w:rPr>
  </w:style>
  <w:style w:type="paragraph" w:customStyle="1" w:styleId="xl121">
    <w:name w:val="xl121"/>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hr-HR"/>
    </w:rPr>
  </w:style>
  <w:style w:type="paragraph" w:customStyle="1" w:styleId="xl122">
    <w:name w:val="xl122"/>
    <w:basedOn w:val="Normal"/>
    <w:rsid w:val="003634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hr-HR"/>
    </w:rPr>
  </w:style>
  <w:style w:type="table" w:styleId="TableGrid">
    <w:name w:val="Table Grid"/>
    <w:basedOn w:val="TableNormal"/>
    <w:uiPriority w:val="39"/>
    <w:rsid w:val="003634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C61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1E3"/>
    <w:rPr>
      <w:rFonts w:ascii="Segoe UI" w:hAnsi="Segoe UI" w:cs="Segoe UI"/>
      <w:sz w:val="18"/>
      <w:szCs w:val="18"/>
    </w:rPr>
  </w:style>
  <w:style w:type="paragraph" w:styleId="ListParagraph">
    <w:name w:val="List Paragraph"/>
    <w:basedOn w:val="Normal"/>
    <w:uiPriority w:val="34"/>
    <w:qFormat/>
    <w:rsid w:val="00D1674D"/>
    <w:pPr>
      <w:ind w:left="720"/>
      <w:contextualSpacing/>
    </w:pPr>
  </w:style>
  <w:style w:type="paragraph" w:customStyle="1" w:styleId="xl123">
    <w:name w:val="xl123"/>
    <w:basedOn w:val="Normal"/>
    <w:rsid w:val="00F908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Times New Roman" w:eastAsia="Times New Roman" w:hAnsi="Times New Roman" w:cs="Times New Roman"/>
      <w:b/>
      <w:bCs/>
      <w:sz w:val="18"/>
      <w:szCs w:val="18"/>
      <w:lang w:eastAsia="hr-HR"/>
    </w:rPr>
  </w:style>
  <w:style w:type="paragraph" w:customStyle="1" w:styleId="xl124">
    <w:name w:val="xl124"/>
    <w:basedOn w:val="Normal"/>
    <w:rsid w:val="00F908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right"/>
      <w:textAlignment w:val="center"/>
    </w:pPr>
    <w:rPr>
      <w:rFonts w:ascii="Times New Roman" w:eastAsia="Times New Roman" w:hAnsi="Times New Roman" w:cs="Times New Roman"/>
      <w:b/>
      <w:bCs/>
      <w:color w:val="000000"/>
      <w:sz w:val="18"/>
      <w:szCs w:val="18"/>
      <w:lang w:eastAsia="hr-HR"/>
    </w:rPr>
  </w:style>
  <w:style w:type="paragraph" w:customStyle="1" w:styleId="xl125">
    <w:name w:val="xl125"/>
    <w:basedOn w:val="Normal"/>
    <w:rsid w:val="00F908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right"/>
      <w:textAlignment w:val="center"/>
    </w:pPr>
    <w:rPr>
      <w:rFonts w:ascii="Times New Roman" w:eastAsia="Times New Roman" w:hAnsi="Times New Roman" w:cs="Times New Roman"/>
      <w:b/>
      <w:bCs/>
      <w:color w:val="000000"/>
      <w:sz w:val="18"/>
      <w:szCs w:val="18"/>
      <w:lang w:eastAsia="hr-HR"/>
    </w:rPr>
  </w:style>
  <w:style w:type="paragraph" w:customStyle="1" w:styleId="xl126">
    <w:name w:val="xl126"/>
    <w:basedOn w:val="Normal"/>
    <w:rsid w:val="00F908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Times New Roman" w:eastAsia="Times New Roman" w:hAnsi="Times New Roman" w:cs="Times New Roman"/>
      <w:b/>
      <w:bCs/>
      <w:sz w:val="18"/>
      <w:szCs w:val="18"/>
      <w:lang w:eastAsia="hr-HR"/>
    </w:rPr>
  </w:style>
  <w:style w:type="paragraph" w:customStyle="1" w:styleId="xl127">
    <w:name w:val="xl127"/>
    <w:basedOn w:val="Normal"/>
    <w:rsid w:val="00F908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Times New Roman" w:eastAsia="Times New Roman" w:hAnsi="Times New Roman" w:cs="Times New Roman"/>
      <w:b/>
      <w:bCs/>
      <w:sz w:val="18"/>
      <w:szCs w:val="18"/>
      <w:lang w:eastAsia="hr-HR"/>
    </w:rPr>
  </w:style>
  <w:style w:type="paragraph" w:customStyle="1" w:styleId="xl128">
    <w:name w:val="xl128"/>
    <w:basedOn w:val="Normal"/>
    <w:rsid w:val="00F908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hr-HR"/>
    </w:rPr>
  </w:style>
  <w:style w:type="paragraph" w:customStyle="1" w:styleId="xl129">
    <w:name w:val="xl129"/>
    <w:basedOn w:val="Normal"/>
    <w:rsid w:val="00F908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hr-HR"/>
    </w:rPr>
  </w:style>
  <w:style w:type="paragraph" w:customStyle="1" w:styleId="xl130">
    <w:name w:val="xl130"/>
    <w:basedOn w:val="Normal"/>
    <w:rsid w:val="00F908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hr-HR"/>
    </w:rPr>
  </w:style>
  <w:style w:type="paragraph" w:customStyle="1" w:styleId="xl131">
    <w:name w:val="xl131"/>
    <w:basedOn w:val="Normal"/>
    <w:rsid w:val="00F9087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hr-HR"/>
    </w:rPr>
  </w:style>
  <w:style w:type="paragraph" w:customStyle="1" w:styleId="xl132">
    <w:name w:val="xl132"/>
    <w:basedOn w:val="Normal"/>
    <w:rsid w:val="00F90876"/>
    <w:pPr>
      <w:pBdr>
        <w:top w:val="single" w:sz="4" w:space="0" w:color="auto"/>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hr-HR"/>
    </w:rPr>
  </w:style>
  <w:style w:type="paragraph" w:customStyle="1" w:styleId="xl133">
    <w:name w:val="xl133"/>
    <w:basedOn w:val="Normal"/>
    <w:rsid w:val="00F90876"/>
    <w:pPr>
      <w:pBdr>
        <w:top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sz w:val="18"/>
      <w:szCs w:val="18"/>
      <w:lang w:eastAsia="hr-HR"/>
    </w:rPr>
  </w:style>
  <w:style w:type="paragraph" w:styleId="NormalWeb">
    <w:name w:val="Normal (Web)"/>
    <w:basedOn w:val="Normal"/>
    <w:uiPriority w:val="99"/>
    <w:semiHidden/>
    <w:unhideWhenUsed/>
    <w:rsid w:val="005E4EE5"/>
    <w:pPr>
      <w:spacing w:after="0" w:line="240" w:lineRule="auto"/>
    </w:pPr>
    <w:rPr>
      <w:rFonts w:ascii="Times New Roman" w:hAnsi="Times New Roman" w:cs="Times New Roman"/>
      <w:sz w:val="24"/>
      <w:szCs w:val="24"/>
      <w:lang w:eastAsia="hr-HR"/>
    </w:rPr>
  </w:style>
  <w:style w:type="paragraph" w:customStyle="1" w:styleId="elementtoproof">
    <w:name w:val="elementtoproof"/>
    <w:basedOn w:val="Normal"/>
    <w:uiPriority w:val="99"/>
    <w:semiHidden/>
    <w:rsid w:val="005E4EE5"/>
    <w:pPr>
      <w:spacing w:after="0" w:line="240" w:lineRule="auto"/>
    </w:pPr>
    <w:rPr>
      <w:rFonts w:ascii="Times New Roman" w:hAnsi="Times New Roman" w:cs="Times New Roman"/>
      <w:sz w:val="24"/>
      <w:szCs w:val="24"/>
      <w:lang w:eastAsia="hr-HR"/>
    </w:rPr>
  </w:style>
  <w:style w:type="character" w:customStyle="1" w:styleId="Heading2Char">
    <w:name w:val="Heading 2 Char"/>
    <w:basedOn w:val="DefaultParagraphFont"/>
    <w:link w:val="Heading2"/>
    <w:rsid w:val="00237420"/>
    <w:rPr>
      <w:rFonts w:ascii="Times New Roman" w:eastAsia="Times New Roman" w:hAnsi="Times New Roman" w:cs="Times New Roman"/>
      <w:b/>
      <w:i/>
      <w:snapToGrid w:val="0"/>
      <w:sz w:val="24"/>
      <w:szCs w:val="24"/>
    </w:rPr>
  </w:style>
  <w:style w:type="character" w:customStyle="1" w:styleId="Heading3Char">
    <w:name w:val="Heading 3 Char"/>
    <w:basedOn w:val="DefaultParagraphFont"/>
    <w:link w:val="Heading3"/>
    <w:semiHidden/>
    <w:rsid w:val="00237420"/>
    <w:rPr>
      <w:rFonts w:ascii="Cambria" w:eastAsia="Times New Roman" w:hAnsi="Cambria" w:cs="Times New Roman"/>
      <w:b/>
      <w:bCs/>
      <w:sz w:val="26"/>
      <w:szCs w:val="26"/>
    </w:rPr>
  </w:style>
  <w:style w:type="numbering" w:customStyle="1" w:styleId="NoList1">
    <w:name w:val="No List1"/>
    <w:next w:val="NoList"/>
    <w:uiPriority w:val="99"/>
    <w:semiHidden/>
    <w:unhideWhenUsed/>
    <w:rsid w:val="00237420"/>
  </w:style>
  <w:style w:type="paragraph" w:styleId="Header">
    <w:name w:val="header"/>
    <w:basedOn w:val="Normal"/>
    <w:link w:val="HeaderChar"/>
    <w:rsid w:val="00237420"/>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237420"/>
    <w:rPr>
      <w:rFonts w:ascii="Times New Roman" w:eastAsia="Times New Roman" w:hAnsi="Times New Roman" w:cs="Times New Roman"/>
      <w:sz w:val="24"/>
      <w:szCs w:val="24"/>
    </w:rPr>
  </w:style>
  <w:style w:type="paragraph" w:styleId="Footer">
    <w:name w:val="footer"/>
    <w:basedOn w:val="Normal"/>
    <w:link w:val="FooterChar"/>
    <w:rsid w:val="00237420"/>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rsid w:val="00237420"/>
    <w:rPr>
      <w:rFonts w:ascii="Times New Roman" w:eastAsia="Times New Roman" w:hAnsi="Times New Roman" w:cs="Times New Roman"/>
      <w:sz w:val="24"/>
      <w:szCs w:val="24"/>
    </w:rPr>
  </w:style>
  <w:style w:type="character" w:styleId="PageNumber">
    <w:name w:val="page number"/>
    <w:basedOn w:val="DefaultParagraphFont"/>
    <w:rsid w:val="00237420"/>
  </w:style>
  <w:style w:type="paragraph" w:styleId="EndnoteText">
    <w:name w:val="endnote text"/>
    <w:basedOn w:val="Normal"/>
    <w:link w:val="EndnoteTextChar"/>
    <w:rsid w:val="00237420"/>
    <w:pPr>
      <w:spacing w:after="0" w:line="240" w:lineRule="auto"/>
    </w:pPr>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rsid w:val="00237420"/>
    <w:rPr>
      <w:rFonts w:ascii="Times New Roman" w:eastAsia="Times New Roman" w:hAnsi="Times New Roman" w:cs="Times New Roman"/>
      <w:sz w:val="20"/>
      <w:szCs w:val="20"/>
    </w:rPr>
  </w:style>
  <w:style w:type="character" w:styleId="EndnoteReference">
    <w:name w:val="endnote reference"/>
    <w:rsid w:val="00237420"/>
    <w:rPr>
      <w:vertAlign w:val="superscript"/>
    </w:rPr>
  </w:style>
  <w:style w:type="numbering" w:customStyle="1" w:styleId="NoList11">
    <w:name w:val="No List11"/>
    <w:next w:val="NoList"/>
    <w:uiPriority w:val="99"/>
    <w:semiHidden/>
    <w:unhideWhenUsed/>
    <w:rsid w:val="00237420"/>
  </w:style>
  <w:style w:type="table" w:customStyle="1" w:styleId="TableGrid1">
    <w:name w:val="Table Grid1"/>
    <w:basedOn w:val="TableNormal"/>
    <w:next w:val="TableGrid"/>
    <w:uiPriority w:val="39"/>
    <w:rsid w:val="002374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54309C"/>
  </w:style>
  <w:style w:type="numbering" w:customStyle="1" w:styleId="NoList12">
    <w:name w:val="No List12"/>
    <w:next w:val="NoList"/>
    <w:uiPriority w:val="99"/>
    <w:semiHidden/>
    <w:unhideWhenUsed/>
    <w:rsid w:val="0054309C"/>
  </w:style>
  <w:style w:type="table" w:customStyle="1" w:styleId="TableGrid2">
    <w:name w:val="Table Grid2"/>
    <w:basedOn w:val="TableNormal"/>
    <w:next w:val="TableGrid"/>
    <w:uiPriority w:val="39"/>
    <w:rsid w:val="005430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54309C"/>
  </w:style>
  <w:style w:type="numbering" w:customStyle="1" w:styleId="NoList1111">
    <w:name w:val="No List1111"/>
    <w:next w:val="NoList"/>
    <w:uiPriority w:val="99"/>
    <w:semiHidden/>
    <w:unhideWhenUsed/>
    <w:rsid w:val="0054309C"/>
  </w:style>
  <w:style w:type="table" w:customStyle="1" w:styleId="TableGrid11">
    <w:name w:val="Table Grid11"/>
    <w:basedOn w:val="TableNormal"/>
    <w:next w:val="TableGrid"/>
    <w:uiPriority w:val="39"/>
    <w:rsid w:val="005430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54309C"/>
  </w:style>
  <w:style w:type="numbering" w:customStyle="1" w:styleId="NoList121">
    <w:name w:val="No List121"/>
    <w:next w:val="NoList"/>
    <w:uiPriority w:val="99"/>
    <w:semiHidden/>
    <w:unhideWhenUsed/>
    <w:rsid w:val="0054309C"/>
  </w:style>
  <w:style w:type="numbering" w:customStyle="1" w:styleId="NoList112">
    <w:name w:val="No List112"/>
    <w:next w:val="NoList"/>
    <w:uiPriority w:val="99"/>
    <w:semiHidden/>
    <w:unhideWhenUsed/>
    <w:rsid w:val="005430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924846">
      <w:bodyDiv w:val="1"/>
      <w:marLeft w:val="0"/>
      <w:marRight w:val="0"/>
      <w:marTop w:val="0"/>
      <w:marBottom w:val="0"/>
      <w:divBdr>
        <w:top w:val="none" w:sz="0" w:space="0" w:color="auto"/>
        <w:left w:val="none" w:sz="0" w:space="0" w:color="auto"/>
        <w:bottom w:val="none" w:sz="0" w:space="0" w:color="auto"/>
        <w:right w:val="none" w:sz="0" w:space="0" w:color="auto"/>
      </w:divBdr>
    </w:div>
    <w:div w:id="47191859">
      <w:bodyDiv w:val="1"/>
      <w:marLeft w:val="0"/>
      <w:marRight w:val="0"/>
      <w:marTop w:val="0"/>
      <w:marBottom w:val="0"/>
      <w:divBdr>
        <w:top w:val="none" w:sz="0" w:space="0" w:color="auto"/>
        <w:left w:val="none" w:sz="0" w:space="0" w:color="auto"/>
        <w:bottom w:val="none" w:sz="0" w:space="0" w:color="auto"/>
        <w:right w:val="none" w:sz="0" w:space="0" w:color="auto"/>
      </w:divBdr>
    </w:div>
    <w:div w:id="52773694">
      <w:bodyDiv w:val="1"/>
      <w:marLeft w:val="0"/>
      <w:marRight w:val="0"/>
      <w:marTop w:val="0"/>
      <w:marBottom w:val="0"/>
      <w:divBdr>
        <w:top w:val="none" w:sz="0" w:space="0" w:color="auto"/>
        <w:left w:val="none" w:sz="0" w:space="0" w:color="auto"/>
        <w:bottom w:val="none" w:sz="0" w:space="0" w:color="auto"/>
        <w:right w:val="none" w:sz="0" w:space="0" w:color="auto"/>
      </w:divBdr>
    </w:div>
    <w:div w:id="100301986">
      <w:bodyDiv w:val="1"/>
      <w:marLeft w:val="0"/>
      <w:marRight w:val="0"/>
      <w:marTop w:val="0"/>
      <w:marBottom w:val="0"/>
      <w:divBdr>
        <w:top w:val="none" w:sz="0" w:space="0" w:color="auto"/>
        <w:left w:val="none" w:sz="0" w:space="0" w:color="auto"/>
        <w:bottom w:val="none" w:sz="0" w:space="0" w:color="auto"/>
        <w:right w:val="none" w:sz="0" w:space="0" w:color="auto"/>
      </w:divBdr>
    </w:div>
    <w:div w:id="122384069">
      <w:bodyDiv w:val="1"/>
      <w:marLeft w:val="0"/>
      <w:marRight w:val="0"/>
      <w:marTop w:val="0"/>
      <w:marBottom w:val="0"/>
      <w:divBdr>
        <w:top w:val="none" w:sz="0" w:space="0" w:color="auto"/>
        <w:left w:val="none" w:sz="0" w:space="0" w:color="auto"/>
        <w:bottom w:val="none" w:sz="0" w:space="0" w:color="auto"/>
        <w:right w:val="none" w:sz="0" w:space="0" w:color="auto"/>
      </w:divBdr>
    </w:div>
    <w:div w:id="128255648">
      <w:bodyDiv w:val="1"/>
      <w:marLeft w:val="0"/>
      <w:marRight w:val="0"/>
      <w:marTop w:val="0"/>
      <w:marBottom w:val="0"/>
      <w:divBdr>
        <w:top w:val="none" w:sz="0" w:space="0" w:color="auto"/>
        <w:left w:val="none" w:sz="0" w:space="0" w:color="auto"/>
        <w:bottom w:val="none" w:sz="0" w:space="0" w:color="auto"/>
        <w:right w:val="none" w:sz="0" w:space="0" w:color="auto"/>
      </w:divBdr>
    </w:div>
    <w:div w:id="137036064">
      <w:bodyDiv w:val="1"/>
      <w:marLeft w:val="0"/>
      <w:marRight w:val="0"/>
      <w:marTop w:val="0"/>
      <w:marBottom w:val="0"/>
      <w:divBdr>
        <w:top w:val="none" w:sz="0" w:space="0" w:color="auto"/>
        <w:left w:val="none" w:sz="0" w:space="0" w:color="auto"/>
        <w:bottom w:val="none" w:sz="0" w:space="0" w:color="auto"/>
        <w:right w:val="none" w:sz="0" w:space="0" w:color="auto"/>
      </w:divBdr>
    </w:div>
    <w:div w:id="168761510">
      <w:bodyDiv w:val="1"/>
      <w:marLeft w:val="0"/>
      <w:marRight w:val="0"/>
      <w:marTop w:val="0"/>
      <w:marBottom w:val="0"/>
      <w:divBdr>
        <w:top w:val="none" w:sz="0" w:space="0" w:color="auto"/>
        <w:left w:val="none" w:sz="0" w:space="0" w:color="auto"/>
        <w:bottom w:val="none" w:sz="0" w:space="0" w:color="auto"/>
        <w:right w:val="none" w:sz="0" w:space="0" w:color="auto"/>
      </w:divBdr>
    </w:div>
    <w:div w:id="178857337">
      <w:bodyDiv w:val="1"/>
      <w:marLeft w:val="0"/>
      <w:marRight w:val="0"/>
      <w:marTop w:val="0"/>
      <w:marBottom w:val="0"/>
      <w:divBdr>
        <w:top w:val="none" w:sz="0" w:space="0" w:color="auto"/>
        <w:left w:val="none" w:sz="0" w:space="0" w:color="auto"/>
        <w:bottom w:val="none" w:sz="0" w:space="0" w:color="auto"/>
        <w:right w:val="none" w:sz="0" w:space="0" w:color="auto"/>
      </w:divBdr>
    </w:div>
    <w:div w:id="232129075">
      <w:bodyDiv w:val="1"/>
      <w:marLeft w:val="0"/>
      <w:marRight w:val="0"/>
      <w:marTop w:val="0"/>
      <w:marBottom w:val="0"/>
      <w:divBdr>
        <w:top w:val="none" w:sz="0" w:space="0" w:color="auto"/>
        <w:left w:val="none" w:sz="0" w:space="0" w:color="auto"/>
        <w:bottom w:val="none" w:sz="0" w:space="0" w:color="auto"/>
        <w:right w:val="none" w:sz="0" w:space="0" w:color="auto"/>
      </w:divBdr>
    </w:div>
    <w:div w:id="266082390">
      <w:bodyDiv w:val="1"/>
      <w:marLeft w:val="0"/>
      <w:marRight w:val="0"/>
      <w:marTop w:val="0"/>
      <w:marBottom w:val="0"/>
      <w:divBdr>
        <w:top w:val="none" w:sz="0" w:space="0" w:color="auto"/>
        <w:left w:val="none" w:sz="0" w:space="0" w:color="auto"/>
        <w:bottom w:val="none" w:sz="0" w:space="0" w:color="auto"/>
        <w:right w:val="none" w:sz="0" w:space="0" w:color="auto"/>
      </w:divBdr>
    </w:div>
    <w:div w:id="293023660">
      <w:bodyDiv w:val="1"/>
      <w:marLeft w:val="0"/>
      <w:marRight w:val="0"/>
      <w:marTop w:val="0"/>
      <w:marBottom w:val="0"/>
      <w:divBdr>
        <w:top w:val="none" w:sz="0" w:space="0" w:color="auto"/>
        <w:left w:val="none" w:sz="0" w:space="0" w:color="auto"/>
        <w:bottom w:val="none" w:sz="0" w:space="0" w:color="auto"/>
        <w:right w:val="none" w:sz="0" w:space="0" w:color="auto"/>
      </w:divBdr>
    </w:div>
    <w:div w:id="319119847">
      <w:bodyDiv w:val="1"/>
      <w:marLeft w:val="0"/>
      <w:marRight w:val="0"/>
      <w:marTop w:val="0"/>
      <w:marBottom w:val="0"/>
      <w:divBdr>
        <w:top w:val="none" w:sz="0" w:space="0" w:color="auto"/>
        <w:left w:val="none" w:sz="0" w:space="0" w:color="auto"/>
        <w:bottom w:val="none" w:sz="0" w:space="0" w:color="auto"/>
        <w:right w:val="none" w:sz="0" w:space="0" w:color="auto"/>
      </w:divBdr>
    </w:div>
    <w:div w:id="326791757">
      <w:bodyDiv w:val="1"/>
      <w:marLeft w:val="0"/>
      <w:marRight w:val="0"/>
      <w:marTop w:val="0"/>
      <w:marBottom w:val="0"/>
      <w:divBdr>
        <w:top w:val="none" w:sz="0" w:space="0" w:color="auto"/>
        <w:left w:val="none" w:sz="0" w:space="0" w:color="auto"/>
        <w:bottom w:val="none" w:sz="0" w:space="0" w:color="auto"/>
        <w:right w:val="none" w:sz="0" w:space="0" w:color="auto"/>
      </w:divBdr>
    </w:div>
    <w:div w:id="327904554">
      <w:bodyDiv w:val="1"/>
      <w:marLeft w:val="0"/>
      <w:marRight w:val="0"/>
      <w:marTop w:val="0"/>
      <w:marBottom w:val="0"/>
      <w:divBdr>
        <w:top w:val="none" w:sz="0" w:space="0" w:color="auto"/>
        <w:left w:val="none" w:sz="0" w:space="0" w:color="auto"/>
        <w:bottom w:val="none" w:sz="0" w:space="0" w:color="auto"/>
        <w:right w:val="none" w:sz="0" w:space="0" w:color="auto"/>
      </w:divBdr>
    </w:div>
    <w:div w:id="377440730">
      <w:bodyDiv w:val="1"/>
      <w:marLeft w:val="0"/>
      <w:marRight w:val="0"/>
      <w:marTop w:val="0"/>
      <w:marBottom w:val="0"/>
      <w:divBdr>
        <w:top w:val="none" w:sz="0" w:space="0" w:color="auto"/>
        <w:left w:val="none" w:sz="0" w:space="0" w:color="auto"/>
        <w:bottom w:val="none" w:sz="0" w:space="0" w:color="auto"/>
        <w:right w:val="none" w:sz="0" w:space="0" w:color="auto"/>
      </w:divBdr>
    </w:div>
    <w:div w:id="388191124">
      <w:bodyDiv w:val="1"/>
      <w:marLeft w:val="0"/>
      <w:marRight w:val="0"/>
      <w:marTop w:val="0"/>
      <w:marBottom w:val="0"/>
      <w:divBdr>
        <w:top w:val="none" w:sz="0" w:space="0" w:color="auto"/>
        <w:left w:val="none" w:sz="0" w:space="0" w:color="auto"/>
        <w:bottom w:val="none" w:sz="0" w:space="0" w:color="auto"/>
        <w:right w:val="none" w:sz="0" w:space="0" w:color="auto"/>
      </w:divBdr>
    </w:div>
    <w:div w:id="392655502">
      <w:bodyDiv w:val="1"/>
      <w:marLeft w:val="0"/>
      <w:marRight w:val="0"/>
      <w:marTop w:val="0"/>
      <w:marBottom w:val="0"/>
      <w:divBdr>
        <w:top w:val="none" w:sz="0" w:space="0" w:color="auto"/>
        <w:left w:val="none" w:sz="0" w:space="0" w:color="auto"/>
        <w:bottom w:val="none" w:sz="0" w:space="0" w:color="auto"/>
        <w:right w:val="none" w:sz="0" w:space="0" w:color="auto"/>
      </w:divBdr>
    </w:div>
    <w:div w:id="455562407">
      <w:bodyDiv w:val="1"/>
      <w:marLeft w:val="0"/>
      <w:marRight w:val="0"/>
      <w:marTop w:val="0"/>
      <w:marBottom w:val="0"/>
      <w:divBdr>
        <w:top w:val="none" w:sz="0" w:space="0" w:color="auto"/>
        <w:left w:val="none" w:sz="0" w:space="0" w:color="auto"/>
        <w:bottom w:val="none" w:sz="0" w:space="0" w:color="auto"/>
        <w:right w:val="none" w:sz="0" w:space="0" w:color="auto"/>
      </w:divBdr>
    </w:div>
    <w:div w:id="460727370">
      <w:bodyDiv w:val="1"/>
      <w:marLeft w:val="0"/>
      <w:marRight w:val="0"/>
      <w:marTop w:val="0"/>
      <w:marBottom w:val="0"/>
      <w:divBdr>
        <w:top w:val="none" w:sz="0" w:space="0" w:color="auto"/>
        <w:left w:val="none" w:sz="0" w:space="0" w:color="auto"/>
        <w:bottom w:val="none" w:sz="0" w:space="0" w:color="auto"/>
        <w:right w:val="none" w:sz="0" w:space="0" w:color="auto"/>
      </w:divBdr>
    </w:div>
    <w:div w:id="479004842">
      <w:bodyDiv w:val="1"/>
      <w:marLeft w:val="0"/>
      <w:marRight w:val="0"/>
      <w:marTop w:val="0"/>
      <w:marBottom w:val="0"/>
      <w:divBdr>
        <w:top w:val="none" w:sz="0" w:space="0" w:color="auto"/>
        <w:left w:val="none" w:sz="0" w:space="0" w:color="auto"/>
        <w:bottom w:val="none" w:sz="0" w:space="0" w:color="auto"/>
        <w:right w:val="none" w:sz="0" w:space="0" w:color="auto"/>
      </w:divBdr>
    </w:div>
    <w:div w:id="526679584">
      <w:bodyDiv w:val="1"/>
      <w:marLeft w:val="0"/>
      <w:marRight w:val="0"/>
      <w:marTop w:val="0"/>
      <w:marBottom w:val="0"/>
      <w:divBdr>
        <w:top w:val="none" w:sz="0" w:space="0" w:color="auto"/>
        <w:left w:val="none" w:sz="0" w:space="0" w:color="auto"/>
        <w:bottom w:val="none" w:sz="0" w:space="0" w:color="auto"/>
        <w:right w:val="none" w:sz="0" w:space="0" w:color="auto"/>
      </w:divBdr>
    </w:div>
    <w:div w:id="535505396">
      <w:bodyDiv w:val="1"/>
      <w:marLeft w:val="0"/>
      <w:marRight w:val="0"/>
      <w:marTop w:val="0"/>
      <w:marBottom w:val="0"/>
      <w:divBdr>
        <w:top w:val="none" w:sz="0" w:space="0" w:color="auto"/>
        <w:left w:val="none" w:sz="0" w:space="0" w:color="auto"/>
        <w:bottom w:val="none" w:sz="0" w:space="0" w:color="auto"/>
        <w:right w:val="none" w:sz="0" w:space="0" w:color="auto"/>
      </w:divBdr>
    </w:div>
    <w:div w:id="563758900">
      <w:bodyDiv w:val="1"/>
      <w:marLeft w:val="0"/>
      <w:marRight w:val="0"/>
      <w:marTop w:val="0"/>
      <w:marBottom w:val="0"/>
      <w:divBdr>
        <w:top w:val="none" w:sz="0" w:space="0" w:color="auto"/>
        <w:left w:val="none" w:sz="0" w:space="0" w:color="auto"/>
        <w:bottom w:val="none" w:sz="0" w:space="0" w:color="auto"/>
        <w:right w:val="none" w:sz="0" w:space="0" w:color="auto"/>
      </w:divBdr>
    </w:div>
    <w:div w:id="625549726">
      <w:bodyDiv w:val="1"/>
      <w:marLeft w:val="0"/>
      <w:marRight w:val="0"/>
      <w:marTop w:val="0"/>
      <w:marBottom w:val="0"/>
      <w:divBdr>
        <w:top w:val="none" w:sz="0" w:space="0" w:color="auto"/>
        <w:left w:val="none" w:sz="0" w:space="0" w:color="auto"/>
        <w:bottom w:val="none" w:sz="0" w:space="0" w:color="auto"/>
        <w:right w:val="none" w:sz="0" w:space="0" w:color="auto"/>
      </w:divBdr>
    </w:div>
    <w:div w:id="630982826">
      <w:bodyDiv w:val="1"/>
      <w:marLeft w:val="0"/>
      <w:marRight w:val="0"/>
      <w:marTop w:val="0"/>
      <w:marBottom w:val="0"/>
      <w:divBdr>
        <w:top w:val="none" w:sz="0" w:space="0" w:color="auto"/>
        <w:left w:val="none" w:sz="0" w:space="0" w:color="auto"/>
        <w:bottom w:val="none" w:sz="0" w:space="0" w:color="auto"/>
        <w:right w:val="none" w:sz="0" w:space="0" w:color="auto"/>
      </w:divBdr>
    </w:div>
    <w:div w:id="641151943">
      <w:bodyDiv w:val="1"/>
      <w:marLeft w:val="0"/>
      <w:marRight w:val="0"/>
      <w:marTop w:val="0"/>
      <w:marBottom w:val="0"/>
      <w:divBdr>
        <w:top w:val="none" w:sz="0" w:space="0" w:color="auto"/>
        <w:left w:val="none" w:sz="0" w:space="0" w:color="auto"/>
        <w:bottom w:val="none" w:sz="0" w:space="0" w:color="auto"/>
        <w:right w:val="none" w:sz="0" w:space="0" w:color="auto"/>
      </w:divBdr>
    </w:div>
    <w:div w:id="728264419">
      <w:bodyDiv w:val="1"/>
      <w:marLeft w:val="0"/>
      <w:marRight w:val="0"/>
      <w:marTop w:val="0"/>
      <w:marBottom w:val="0"/>
      <w:divBdr>
        <w:top w:val="none" w:sz="0" w:space="0" w:color="auto"/>
        <w:left w:val="none" w:sz="0" w:space="0" w:color="auto"/>
        <w:bottom w:val="none" w:sz="0" w:space="0" w:color="auto"/>
        <w:right w:val="none" w:sz="0" w:space="0" w:color="auto"/>
      </w:divBdr>
    </w:div>
    <w:div w:id="755319491">
      <w:bodyDiv w:val="1"/>
      <w:marLeft w:val="0"/>
      <w:marRight w:val="0"/>
      <w:marTop w:val="0"/>
      <w:marBottom w:val="0"/>
      <w:divBdr>
        <w:top w:val="none" w:sz="0" w:space="0" w:color="auto"/>
        <w:left w:val="none" w:sz="0" w:space="0" w:color="auto"/>
        <w:bottom w:val="none" w:sz="0" w:space="0" w:color="auto"/>
        <w:right w:val="none" w:sz="0" w:space="0" w:color="auto"/>
      </w:divBdr>
    </w:div>
    <w:div w:id="769355969">
      <w:bodyDiv w:val="1"/>
      <w:marLeft w:val="0"/>
      <w:marRight w:val="0"/>
      <w:marTop w:val="0"/>
      <w:marBottom w:val="0"/>
      <w:divBdr>
        <w:top w:val="none" w:sz="0" w:space="0" w:color="auto"/>
        <w:left w:val="none" w:sz="0" w:space="0" w:color="auto"/>
        <w:bottom w:val="none" w:sz="0" w:space="0" w:color="auto"/>
        <w:right w:val="none" w:sz="0" w:space="0" w:color="auto"/>
      </w:divBdr>
    </w:div>
    <w:div w:id="774132055">
      <w:bodyDiv w:val="1"/>
      <w:marLeft w:val="0"/>
      <w:marRight w:val="0"/>
      <w:marTop w:val="0"/>
      <w:marBottom w:val="0"/>
      <w:divBdr>
        <w:top w:val="none" w:sz="0" w:space="0" w:color="auto"/>
        <w:left w:val="none" w:sz="0" w:space="0" w:color="auto"/>
        <w:bottom w:val="none" w:sz="0" w:space="0" w:color="auto"/>
        <w:right w:val="none" w:sz="0" w:space="0" w:color="auto"/>
      </w:divBdr>
    </w:div>
    <w:div w:id="830144764">
      <w:bodyDiv w:val="1"/>
      <w:marLeft w:val="0"/>
      <w:marRight w:val="0"/>
      <w:marTop w:val="0"/>
      <w:marBottom w:val="0"/>
      <w:divBdr>
        <w:top w:val="none" w:sz="0" w:space="0" w:color="auto"/>
        <w:left w:val="none" w:sz="0" w:space="0" w:color="auto"/>
        <w:bottom w:val="none" w:sz="0" w:space="0" w:color="auto"/>
        <w:right w:val="none" w:sz="0" w:space="0" w:color="auto"/>
      </w:divBdr>
    </w:div>
    <w:div w:id="953436477">
      <w:bodyDiv w:val="1"/>
      <w:marLeft w:val="0"/>
      <w:marRight w:val="0"/>
      <w:marTop w:val="0"/>
      <w:marBottom w:val="0"/>
      <w:divBdr>
        <w:top w:val="none" w:sz="0" w:space="0" w:color="auto"/>
        <w:left w:val="none" w:sz="0" w:space="0" w:color="auto"/>
        <w:bottom w:val="none" w:sz="0" w:space="0" w:color="auto"/>
        <w:right w:val="none" w:sz="0" w:space="0" w:color="auto"/>
      </w:divBdr>
    </w:div>
    <w:div w:id="969752251">
      <w:bodyDiv w:val="1"/>
      <w:marLeft w:val="0"/>
      <w:marRight w:val="0"/>
      <w:marTop w:val="0"/>
      <w:marBottom w:val="0"/>
      <w:divBdr>
        <w:top w:val="none" w:sz="0" w:space="0" w:color="auto"/>
        <w:left w:val="none" w:sz="0" w:space="0" w:color="auto"/>
        <w:bottom w:val="none" w:sz="0" w:space="0" w:color="auto"/>
        <w:right w:val="none" w:sz="0" w:space="0" w:color="auto"/>
      </w:divBdr>
    </w:div>
    <w:div w:id="1014767458">
      <w:bodyDiv w:val="1"/>
      <w:marLeft w:val="0"/>
      <w:marRight w:val="0"/>
      <w:marTop w:val="0"/>
      <w:marBottom w:val="0"/>
      <w:divBdr>
        <w:top w:val="none" w:sz="0" w:space="0" w:color="auto"/>
        <w:left w:val="none" w:sz="0" w:space="0" w:color="auto"/>
        <w:bottom w:val="none" w:sz="0" w:space="0" w:color="auto"/>
        <w:right w:val="none" w:sz="0" w:space="0" w:color="auto"/>
      </w:divBdr>
    </w:div>
    <w:div w:id="1026521810">
      <w:bodyDiv w:val="1"/>
      <w:marLeft w:val="0"/>
      <w:marRight w:val="0"/>
      <w:marTop w:val="0"/>
      <w:marBottom w:val="0"/>
      <w:divBdr>
        <w:top w:val="none" w:sz="0" w:space="0" w:color="auto"/>
        <w:left w:val="none" w:sz="0" w:space="0" w:color="auto"/>
        <w:bottom w:val="none" w:sz="0" w:space="0" w:color="auto"/>
        <w:right w:val="none" w:sz="0" w:space="0" w:color="auto"/>
      </w:divBdr>
    </w:div>
    <w:div w:id="1035693600">
      <w:bodyDiv w:val="1"/>
      <w:marLeft w:val="0"/>
      <w:marRight w:val="0"/>
      <w:marTop w:val="0"/>
      <w:marBottom w:val="0"/>
      <w:divBdr>
        <w:top w:val="none" w:sz="0" w:space="0" w:color="auto"/>
        <w:left w:val="none" w:sz="0" w:space="0" w:color="auto"/>
        <w:bottom w:val="none" w:sz="0" w:space="0" w:color="auto"/>
        <w:right w:val="none" w:sz="0" w:space="0" w:color="auto"/>
      </w:divBdr>
    </w:div>
    <w:div w:id="1047876105">
      <w:bodyDiv w:val="1"/>
      <w:marLeft w:val="0"/>
      <w:marRight w:val="0"/>
      <w:marTop w:val="0"/>
      <w:marBottom w:val="0"/>
      <w:divBdr>
        <w:top w:val="none" w:sz="0" w:space="0" w:color="auto"/>
        <w:left w:val="none" w:sz="0" w:space="0" w:color="auto"/>
        <w:bottom w:val="none" w:sz="0" w:space="0" w:color="auto"/>
        <w:right w:val="none" w:sz="0" w:space="0" w:color="auto"/>
      </w:divBdr>
    </w:div>
    <w:div w:id="1146776105">
      <w:bodyDiv w:val="1"/>
      <w:marLeft w:val="0"/>
      <w:marRight w:val="0"/>
      <w:marTop w:val="0"/>
      <w:marBottom w:val="0"/>
      <w:divBdr>
        <w:top w:val="none" w:sz="0" w:space="0" w:color="auto"/>
        <w:left w:val="none" w:sz="0" w:space="0" w:color="auto"/>
        <w:bottom w:val="none" w:sz="0" w:space="0" w:color="auto"/>
        <w:right w:val="none" w:sz="0" w:space="0" w:color="auto"/>
      </w:divBdr>
    </w:div>
    <w:div w:id="1195118746">
      <w:bodyDiv w:val="1"/>
      <w:marLeft w:val="0"/>
      <w:marRight w:val="0"/>
      <w:marTop w:val="0"/>
      <w:marBottom w:val="0"/>
      <w:divBdr>
        <w:top w:val="none" w:sz="0" w:space="0" w:color="auto"/>
        <w:left w:val="none" w:sz="0" w:space="0" w:color="auto"/>
        <w:bottom w:val="none" w:sz="0" w:space="0" w:color="auto"/>
        <w:right w:val="none" w:sz="0" w:space="0" w:color="auto"/>
      </w:divBdr>
    </w:div>
    <w:div w:id="1208569053">
      <w:bodyDiv w:val="1"/>
      <w:marLeft w:val="0"/>
      <w:marRight w:val="0"/>
      <w:marTop w:val="0"/>
      <w:marBottom w:val="0"/>
      <w:divBdr>
        <w:top w:val="none" w:sz="0" w:space="0" w:color="auto"/>
        <w:left w:val="none" w:sz="0" w:space="0" w:color="auto"/>
        <w:bottom w:val="none" w:sz="0" w:space="0" w:color="auto"/>
        <w:right w:val="none" w:sz="0" w:space="0" w:color="auto"/>
      </w:divBdr>
    </w:div>
    <w:div w:id="1211302545">
      <w:bodyDiv w:val="1"/>
      <w:marLeft w:val="0"/>
      <w:marRight w:val="0"/>
      <w:marTop w:val="0"/>
      <w:marBottom w:val="0"/>
      <w:divBdr>
        <w:top w:val="none" w:sz="0" w:space="0" w:color="auto"/>
        <w:left w:val="none" w:sz="0" w:space="0" w:color="auto"/>
        <w:bottom w:val="none" w:sz="0" w:space="0" w:color="auto"/>
        <w:right w:val="none" w:sz="0" w:space="0" w:color="auto"/>
      </w:divBdr>
    </w:div>
    <w:div w:id="1296330358">
      <w:bodyDiv w:val="1"/>
      <w:marLeft w:val="0"/>
      <w:marRight w:val="0"/>
      <w:marTop w:val="0"/>
      <w:marBottom w:val="0"/>
      <w:divBdr>
        <w:top w:val="none" w:sz="0" w:space="0" w:color="auto"/>
        <w:left w:val="none" w:sz="0" w:space="0" w:color="auto"/>
        <w:bottom w:val="none" w:sz="0" w:space="0" w:color="auto"/>
        <w:right w:val="none" w:sz="0" w:space="0" w:color="auto"/>
      </w:divBdr>
    </w:div>
    <w:div w:id="1314333672">
      <w:bodyDiv w:val="1"/>
      <w:marLeft w:val="0"/>
      <w:marRight w:val="0"/>
      <w:marTop w:val="0"/>
      <w:marBottom w:val="0"/>
      <w:divBdr>
        <w:top w:val="none" w:sz="0" w:space="0" w:color="auto"/>
        <w:left w:val="none" w:sz="0" w:space="0" w:color="auto"/>
        <w:bottom w:val="none" w:sz="0" w:space="0" w:color="auto"/>
        <w:right w:val="none" w:sz="0" w:space="0" w:color="auto"/>
      </w:divBdr>
    </w:div>
    <w:div w:id="1322079855">
      <w:bodyDiv w:val="1"/>
      <w:marLeft w:val="0"/>
      <w:marRight w:val="0"/>
      <w:marTop w:val="0"/>
      <w:marBottom w:val="0"/>
      <w:divBdr>
        <w:top w:val="none" w:sz="0" w:space="0" w:color="auto"/>
        <w:left w:val="none" w:sz="0" w:space="0" w:color="auto"/>
        <w:bottom w:val="none" w:sz="0" w:space="0" w:color="auto"/>
        <w:right w:val="none" w:sz="0" w:space="0" w:color="auto"/>
      </w:divBdr>
    </w:div>
    <w:div w:id="1366784200">
      <w:bodyDiv w:val="1"/>
      <w:marLeft w:val="0"/>
      <w:marRight w:val="0"/>
      <w:marTop w:val="0"/>
      <w:marBottom w:val="0"/>
      <w:divBdr>
        <w:top w:val="none" w:sz="0" w:space="0" w:color="auto"/>
        <w:left w:val="none" w:sz="0" w:space="0" w:color="auto"/>
        <w:bottom w:val="none" w:sz="0" w:space="0" w:color="auto"/>
        <w:right w:val="none" w:sz="0" w:space="0" w:color="auto"/>
      </w:divBdr>
    </w:div>
    <w:div w:id="1368489754">
      <w:bodyDiv w:val="1"/>
      <w:marLeft w:val="0"/>
      <w:marRight w:val="0"/>
      <w:marTop w:val="0"/>
      <w:marBottom w:val="0"/>
      <w:divBdr>
        <w:top w:val="none" w:sz="0" w:space="0" w:color="auto"/>
        <w:left w:val="none" w:sz="0" w:space="0" w:color="auto"/>
        <w:bottom w:val="none" w:sz="0" w:space="0" w:color="auto"/>
        <w:right w:val="none" w:sz="0" w:space="0" w:color="auto"/>
      </w:divBdr>
    </w:div>
    <w:div w:id="1428647684">
      <w:bodyDiv w:val="1"/>
      <w:marLeft w:val="0"/>
      <w:marRight w:val="0"/>
      <w:marTop w:val="0"/>
      <w:marBottom w:val="0"/>
      <w:divBdr>
        <w:top w:val="none" w:sz="0" w:space="0" w:color="auto"/>
        <w:left w:val="none" w:sz="0" w:space="0" w:color="auto"/>
        <w:bottom w:val="none" w:sz="0" w:space="0" w:color="auto"/>
        <w:right w:val="none" w:sz="0" w:space="0" w:color="auto"/>
      </w:divBdr>
    </w:div>
    <w:div w:id="1444419987">
      <w:bodyDiv w:val="1"/>
      <w:marLeft w:val="0"/>
      <w:marRight w:val="0"/>
      <w:marTop w:val="0"/>
      <w:marBottom w:val="0"/>
      <w:divBdr>
        <w:top w:val="none" w:sz="0" w:space="0" w:color="auto"/>
        <w:left w:val="none" w:sz="0" w:space="0" w:color="auto"/>
        <w:bottom w:val="none" w:sz="0" w:space="0" w:color="auto"/>
        <w:right w:val="none" w:sz="0" w:space="0" w:color="auto"/>
      </w:divBdr>
    </w:div>
    <w:div w:id="1463501749">
      <w:bodyDiv w:val="1"/>
      <w:marLeft w:val="0"/>
      <w:marRight w:val="0"/>
      <w:marTop w:val="0"/>
      <w:marBottom w:val="0"/>
      <w:divBdr>
        <w:top w:val="none" w:sz="0" w:space="0" w:color="auto"/>
        <w:left w:val="none" w:sz="0" w:space="0" w:color="auto"/>
        <w:bottom w:val="none" w:sz="0" w:space="0" w:color="auto"/>
        <w:right w:val="none" w:sz="0" w:space="0" w:color="auto"/>
      </w:divBdr>
    </w:div>
    <w:div w:id="1475099870">
      <w:bodyDiv w:val="1"/>
      <w:marLeft w:val="0"/>
      <w:marRight w:val="0"/>
      <w:marTop w:val="0"/>
      <w:marBottom w:val="0"/>
      <w:divBdr>
        <w:top w:val="none" w:sz="0" w:space="0" w:color="auto"/>
        <w:left w:val="none" w:sz="0" w:space="0" w:color="auto"/>
        <w:bottom w:val="none" w:sz="0" w:space="0" w:color="auto"/>
        <w:right w:val="none" w:sz="0" w:space="0" w:color="auto"/>
      </w:divBdr>
    </w:div>
    <w:div w:id="1478953131">
      <w:bodyDiv w:val="1"/>
      <w:marLeft w:val="0"/>
      <w:marRight w:val="0"/>
      <w:marTop w:val="0"/>
      <w:marBottom w:val="0"/>
      <w:divBdr>
        <w:top w:val="none" w:sz="0" w:space="0" w:color="auto"/>
        <w:left w:val="none" w:sz="0" w:space="0" w:color="auto"/>
        <w:bottom w:val="none" w:sz="0" w:space="0" w:color="auto"/>
        <w:right w:val="none" w:sz="0" w:space="0" w:color="auto"/>
      </w:divBdr>
    </w:div>
    <w:div w:id="1479227963">
      <w:bodyDiv w:val="1"/>
      <w:marLeft w:val="0"/>
      <w:marRight w:val="0"/>
      <w:marTop w:val="0"/>
      <w:marBottom w:val="0"/>
      <w:divBdr>
        <w:top w:val="none" w:sz="0" w:space="0" w:color="auto"/>
        <w:left w:val="none" w:sz="0" w:space="0" w:color="auto"/>
        <w:bottom w:val="none" w:sz="0" w:space="0" w:color="auto"/>
        <w:right w:val="none" w:sz="0" w:space="0" w:color="auto"/>
      </w:divBdr>
    </w:div>
    <w:div w:id="1543519326">
      <w:bodyDiv w:val="1"/>
      <w:marLeft w:val="0"/>
      <w:marRight w:val="0"/>
      <w:marTop w:val="0"/>
      <w:marBottom w:val="0"/>
      <w:divBdr>
        <w:top w:val="none" w:sz="0" w:space="0" w:color="auto"/>
        <w:left w:val="none" w:sz="0" w:space="0" w:color="auto"/>
        <w:bottom w:val="none" w:sz="0" w:space="0" w:color="auto"/>
        <w:right w:val="none" w:sz="0" w:space="0" w:color="auto"/>
      </w:divBdr>
    </w:div>
    <w:div w:id="1548836435">
      <w:bodyDiv w:val="1"/>
      <w:marLeft w:val="0"/>
      <w:marRight w:val="0"/>
      <w:marTop w:val="0"/>
      <w:marBottom w:val="0"/>
      <w:divBdr>
        <w:top w:val="none" w:sz="0" w:space="0" w:color="auto"/>
        <w:left w:val="none" w:sz="0" w:space="0" w:color="auto"/>
        <w:bottom w:val="none" w:sz="0" w:space="0" w:color="auto"/>
        <w:right w:val="none" w:sz="0" w:space="0" w:color="auto"/>
      </w:divBdr>
    </w:div>
    <w:div w:id="1553422390">
      <w:bodyDiv w:val="1"/>
      <w:marLeft w:val="0"/>
      <w:marRight w:val="0"/>
      <w:marTop w:val="0"/>
      <w:marBottom w:val="0"/>
      <w:divBdr>
        <w:top w:val="none" w:sz="0" w:space="0" w:color="auto"/>
        <w:left w:val="none" w:sz="0" w:space="0" w:color="auto"/>
        <w:bottom w:val="none" w:sz="0" w:space="0" w:color="auto"/>
        <w:right w:val="none" w:sz="0" w:space="0" w:color="auto"/>
      </w:divBdr>
    </w:div>
    <w:div w:id="1580598495">
      <w:bodyDiv w:val="1"/>
      <w:marLeft w:val="0"/>
      <w:marRight w:val="0"/>
      <w:marTop w:val="0"/>
      <w:marBottom w:val="0"/>
      <w:divBdr>
        <w:top w:val="none" w:sz="0" w:space="0" w:color="auto"/>
        <w:left w:val="none" w:sz="0" w:space="0" w:color="auto"/>
        <w:bottom w:val="none" w:sz="0" w:space="0" w:color="auto"/>
        <w:right w:val="none" w:sz="0" w:space="0" w:color="auto"/>
      </w:divBdr>
    </w:div>
    <w:div w:id="1656374638">
      <w:bodyDiv w:val="1"/>
      <w:marLeft w:val="0"/>
      <w:marRight w:val="0"/>
      <w:marTop w:val="0"/>
      <w:marBottom w:val="0"/>
      <w:divBdr>
        <w:top w:val="none" w:sz="0" w:space="0" w:color="auto"/>
        <w:left w:val="none" w:sz="0" w:space="0" w:color="auto"/>
        <w:bottom w:val="none" w:sz="0" w:space="0" w:color="auto"/>
        <w:right w:val="none" w:sz="0" w:space="0" w:color="auto"/>
      </w:divBdr>
    </w:div>
    <w:div w:id="1728604073">
      <w:bodyDiv w:val="1"/>
      <w:marLeft w:val="0"/>
      <w:marRight w:val="0"/>
      <w:marTop w:val="0"/>
      <w:marBottom w:val="0"/>
      <w:divBdr>
        <w:top w:val="none" w:sz="0" w:space="0" w:color="auto"/>
        <w:left w:val="none" w:sz="0" w:space="0" w:color="auto"/>
        <w:bottom w:val="none" w:sz="0" w:space="0" w:color="auto"/>
        <w:right w:val="none" w:sz="0" w:space="0" w:color="auto"/>
      </w:divBdr>
    </w:div>
    <w:div w:id="1760251657">
      <w:bodyDiv w:val="1"/>
      <w:marLeft w:val="0"/>
      <w:marRight w:val="0"/>
      <w:marTop w:val="0"/>
      <w:marBottom w:val="0"/>
      <w:divBdr>
        <w:top w:val="none" w:sz="0" w:space="0" w:color="auto"/>
        <w:left w:val="none" w:sz="0" w:space="0" w:color="auto"/>
        <w:bottom w:val="none" w:sz="0" w:space="0" w:color="auto"/>
        <w:right w:val="none" w:sz="0" w:space="0" w:color="auto"/>
      </w:divBdr>
    </w:div>
    <w:div w:id="1770545014">
      <w:bodyDiv w:val="1"/>
      <w:marLeft w:val="0"/>
      <w:marRight w:val="0"/>
      <w:marTop w:val="0"/>
      <w:marBottom w:val="0"/>
      <w:divBdr>
        <w:top w:val="none" w:sz="0" w:space="0" w:color="auto"/>
        <w:left w:val="none" w:sz="0" w:space="0" w:color="auto"/>
        <w:bottom w:val="none" w:sz="0" w:space="0" w:color="auto"/>
        <w:right w:val="none" w:sz="0" w:space="0" w:color="auto"/>
      </w:divBdr>
    </w:div>
    <w:div w:id="1827553112">
      <w:bodyDiv w:val="1"/>
      <w:marLeft w:val="0"/>
      <w:marRight w:val="0"/>
      <w:marTop w:val="0"/>
      <w:marBottom w:val="0"/>
      <w:divBdr>
        <w:top w:val="none" w:sz="0" w:space="0" w:color="auto"/>
        <w:left w:val="none" w:sz="0" w:space="0" w:color="auto"/>
        <w:bottom w:val="none" w:sz="0" w:space="0" w:color="auto"/>
        <w:right w:val="none" w:sz="0" w:space="0" w:color="auto"/>
      </w:divBdr>
    </w:div>
    <w:div w:id="1911233761">
      <w:bodyDiv w:val="1"/>
      <w:marLeft w:val="0"/>
      <w:marRight w:val="0"/>
      <w:marTop w:val="0"/>
      <w:marBottom w:val="0"/>
      <w:divBdr>
        <w:top w:val="none" w:sz="0" w:space="0" w:color="auto"/>
        <w:left w:val="none" w:sz="0" w:space="0" w:color="auto"/>
        <w:bottom w:val="none" w:sz="0" w:space="0" w:color="auto"/>
        <w:right w:val="none" w:sz="0" w:space="0" w:color="auto"/>
      </w:divBdr>
    </w:div>
    <w:div w:id="1922255577">
      <w:bodyDiv w:val="1"/>
      <w:marLeft w:val="0"/>
      <w:marRight w:val="0"/>
      <w:marTop w:val="0"/>
      <w:marBottom w:val="0"/>
      <w:divBdr>
        <w:top w:val="none" w:sz="0" w:space="0" w:color="auto"/>
        <w:left w:val="none" w:sz="0" w:space="0" w:color="auto"/>
        <w:bottom w:val="none" w:sz="0" w:space="0" w:color="auto"/>
        <w:right w:val="none" w:sz="0" w:space="0" w:color="auto"/>
      </w:divBdr>
    </w:div>
    <w:div w:id="1929458049">
      <w:bodyDiv w:val="1"/>
      <w:marLeft w:val="0"/>
      <w:marRight w:val="0"/>
      <w:marTop w:val="0"/>
      <w:marBottom w:val="0"/>
      <w:divBdr>
        <w:top w:val="none" w:sz="0" w:space="0" w:color="auto"/>
        <w:left w:val="none" w:sz="0" w:space="0" w:color="auto"/>
        <w:bottom w:val="none" w:sz="0" w:space="0" w:color="auto"/>
        <w:right w:val="none" w:sz="0" w:space="0" w:color="auto"/>
      </w:divBdr>
    </w:div>
    <w:div w:id="2017346538">
      <w:bodyDiv w:val="1"/>
      <w:marLeft w:val="0"/>
      <w:marRight w:val="0"/>
      <w:marTop w:val="0"/>
      <w:marBottom w:val="0"/>
      <w:divBdr>
        <w:top w:val="none" w:sz="0" w:space="0" w:color="auto"/>
        <w:left w:val="none" w:sz="0" w:space="0" w:color="auto"/>
        <w:bottom w:val="none" w:sz="0" w:space="0" w:color="auto"/>
        <w:right w:val="none" w:sz="0" w:space="0" w:color="auto"/>
      </w:divBdr>
    </w:div>
    <w:div w:id="2019039184">
      <w:bodyDiv w:val="1"/>
      <w:marLeft w:val="0"/>
      <w:marRight w:val="0"/>
      <w:marTop w:val="0"/>
      <w:marBottom w:val="0"/>
      <w:divBdr>
        <w:top w:val="none" w:sz="0" w:space="0" w:color="auto"/>
        <w:left w:val="none" w:sz="0" w:space="0" w:color="auto"/>
        <w:bottom w:val="none" w:sz="0" w:space="0" w:color="auto"/>
        <w:right w:val="none" w:sz="0" w:space="0" w:color="auto"/>
      </w:divBdr>
    </w:div>
    <w:div w:id="2049062819">
      <w:bodyDiv w:val="1"/>
      <w:marLeft w:val="0"/>
      <w:marRight w:val="0"/>
      <w:marTop w:val="0"/>
      <w:marBottom w:val="0"/>
      <w:divBdr>
        <w:top w:val="none" w:sz="0" w:space="0" w:color="auto"/>
        <w:left w:val="none" w:sz="0" w:space="0" w:color="auto"/>
        <w:bottom w:val="none" w:sz="0" w:space="0" w:color="auto"/>
        <w:right w:val="none" w:sz="0" w:space="0" w:color="auto"/>
      </w:divBdr>
    </w:div>
    <w:div w:id="2053918343">
      <w:bodyDiv w:val="1"/>
      <w:marLeft w:val="0"/>
      <w:marRight w:val="0"/>
      <w:marTop w:val="0"/>
      <w:marBottom w:val="0"/>
      <w:divBdr>
        <w:top w:val="none" w:sz="0" w:space="0" w:color="auto"/>
        <w:left w:val="none" w:sz="0" w:space="0" w:color="auto"/>
        <w:bottom w:val="none" w:sz="0" w:space="0" w:color="auto"/>
        <w:right w:val="none" w:sz="0" w:space="0" w:color="auto"/>
      </w:divBdr>
    </w:div>
    <w:div w:id="2106536838">
      <w:bodyDiv w:val="1"/>
      <w:marLeft w:val="0"/>
      <w:marRight w:val="0"/>
      <w:marTop w:val="0"/>
      <w:marBottom w:val="0"/>
      <w:divBdr>
        <w:top w:val="none" w:sz="0" w:space="0" w:color="auto"/>
        <w:left w:val="none" w:sz="0" w:space="0" w:color="auto"/>
        <w:bottom w:val="none" w:sz="0" w:space="0" w:color="auto"/>
        <w:right w:val="none" w:sz="0" w:space="0" w:color="auto"/>
      </w:divBdr>
    </w:div>
    <w:div w:id="2107574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CCC747-64D2-4E59-9112-59108267E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17</Pages>
  <Words>6139</Words>
  <Characters>34995</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Gordana Koren</dc:creator>
  <cp:keywords/>
  <dc:description/>
  <cp:lastModifiedBy>Gordana Koren</cp:lastModifiedBy>
  <cp:revision>7</cp:revision>
  <cp:lastPrinted>2025-03-21T08:21:00Z</cp:lastPrinted>
  <dcterms:created xsi:type="dcterms:W3CDTF">2025-07-03T09:17:00Z</dcterms:created>
  <dcterms:modified xsi:type="dcterms:W3CDTF">2025-07-03T09:29:00Z</dcterms:modified>
</cp:coreProperties>
</file>